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6E89C" w14:textId="0CFC433E" w:rsidR="00423F3B" w:rsidRDefault="00423F3B" w:rsidP="00423F3B">
      <w:pPr>
        <w:jc w:val="right"/>
        <w:rPr>
          <w:sz w:val="20"/>
          <w:szCs w:val="20"/>
          <w:lang w:val="de-DE"/>
        </w:rPr>
      </w:pPr>
      <w:r w:rsidRPr="00423F3B">
        <w:rPr>
          <w:sz w:val="20"/>
          <w:szCs w:val="20"/>
          <w:lang w:val="de-DE"/>
        </w:rPr>
        <w:t>Bericht Bischof, Gundl et al</w:t>
      </w:r>
    </w:p>
    <w:p w14:paraId="4C12A377" w14:textId="77777777" w:rsidR="00423F3B" w:rsidRPr="00423F3B" w:rsidRDefault="00423F3B" w:rsidP="00423F3B">
      <w:pPr>
        <w:jc w:val="right"/>
        <w:rPr>
          <w:sz w:val="20"/>
          <w:szCs w:val="20"/>
          <w:lang w:val="de-DE"/>
        </w:rPr>
      </w:pPr>
    </w:p>
    <w:p w14:paraId="13118426" w14:textId="5ADA4DBE" w:rsidR="00423F3B" w:rsidRPr="00423F3B" w:rsidRDefault="00423F3B" w:rsidP="00423F3B">
      <w:pPr>
        <w:jc w:val="left"/>
      </w:pPr>
      <w:r w:rsidRPr="00423F3B">
        <w:t>Bischof, Jürgen (Austrian Club, London</w:t>
      </w:r>
      <w:r w:rsidR="001257B4">
        <w:t>)</w:t>
      </w:r>
      <w:r w:rsidRPr="00423F3B">
        <w:t xml:space="preserve">/ Jürgen </w:t>
      </w:r>
      <w:proofErr w:type="spellStart"/>
      <w:r w:rsidRPr="00423F3B">
        <w:t>Em</w:t>
      </w:r>
      <w:proofErr w:type="spellEnd"/>
      <w:r w:rsidRPr="00423F3B">
        <w:t xml:space="preserve"> (A</w:t>
      </w:r>
      <w:r>
        <w:t xml:space="preserve">ÖWB, Düsseldorf)/ </w:t>
      </w:r>
      <w:r w:rsidRPr="00423F3B">
        <w:t>Florian Gundl (Institut für Soziologie, Universität Graz)</w:t>
      </w:r>
      <w:r>
        <w:t xml:space="preserve">/ Irmgard </w:t>
      </w:r>
      <w:proofErr w:type="spellStart"/>
      <w:r>
        <w:t>Helperstorfer</w:t>
      </w:r>
      <w:proofErr w:type="spellEnd"/>
      <w:r>
        <w:t xml:space="preserve"> (AÖWB, Wien)</w:t>
      </w:r>
    </w:p>
    <w:p w14:paraId="0AD0873D" w14:textId="77777777" w:rsidR="00423F3B" w:rsidRPr="00423F3B" w:rsidRDefault="00423F3B" w:rsidP="00423F3B">
      <w:pPr>
        <w:jc w:val="left"/>
      </w:pPr>
    </w:p>
    <w:p w14:paraId="01EDFFFD" w14:textId="7C2FB38C" w:rsidR="00AE0B9F" w:rsidRPr="00423F3B" w:rsidRDefault="00423F3B" w:rsidP="00423F3B">
      <w:pPr>
        <w:jc w:val="left"/>
        <w:rPr>
          <w:b/>
          <w:lang w:val="de-DE"/>
        </w:rPr>
      </w:pPr>
      <w:r w:rsidRPr="00423F3B">
        <w:rPr>
          <w:b/>
          <w:lang w:val="de-DE"/>
        </w:rPr>
        <w:t>Was Auslandsösterreicher</w:t>
      </w:r>
      <w:r w:rsidR="00317F79">
        <w:rPr>
          <w:b/>
          <w:lang w:val="de-DE"/>
        </w:rPr>
        <w:t>innen und Auslandsösterreicher</w:t>
      </w:r>
      <w:r w:rsidRPr="00423F3B">
        <w:rPr>
          <w:b/>
          <w:lang w:val="de-DE"/>
        </w:rPr>
        <w:t xml:space="preserve"> über Doppelstaat</w:t>
      </w:r>
      <w:r w:rsidRPr="00423F3B">
        <w:rPr>
          <w:b/>
          <w:lang w:val="de-DE"/>
        </w:rPr>
        <w:t>s</w:t>
      </w:r>
      <w:r w:rsidRPr="00423F3B">
        <w:rPr>
          <w:b/>
          <w:lang w:val="de-DE"/>
        </w:rPr>
        <w:t xml:space="preserve">bürgerschaft denken. </w:t>
      </w:r>
      <w:r w:rsidR="00AE0B9F" w:rsidRPr="00423F3B">
        <w:rPr>
          <w:b/>
          <w:lang w:val="de-DE"/>
        </w:rPr>
        <w:t xml:space="preserve">Ergebnisse </w:t>
      </w:r>
      <w:r w:rsidRPr="00423F3B">
        <w:rPr>
          <w:b/>
          <w:lang w:val="de-DE"/>
        </w:rPr>
        <w:t>ein</w:t>
      </w:r>
      <w:r w:rsidR="00AE0B9F" w:rsidRPr="00423F3B">
        <w:rPr>
          <w:b/>
          <w:lang w:val="de-DE"/>
        </w:rPr>
        <w:t xml:space="preserve">er </w:t>
      </w:r>
      <w:r w:rsidRPr="00423F3B">
        <w:rPr>
          <w:b/>
          <w:lang w:val="de-DE"/>
        </w:rPr>
        <w:t xml:space="preserve">weltweiten </w:t>
      </w:r>
      <w:r w:rsidR="00AE0B9F" w:rsidRPr="00423F3B">
        <w:rPr>
          <w:b/>
          <w:lang w:val="de-DE"/>
        </w:rPr>
        <w:t>Umfrage</w:t>
      </w:r>
      <w:r w:rsidR="003E5A14" w:rsidRPr="00423F3B">
        <w:rPr>
          <w:b/>
          <w:lang w:val="de-DE"/>
        </w:rPr>
        <w:t xml:space="preserve"> </w:t>
      </w:r>
    </w:p>
    <w:p w14:paraId="64A1374B" w14:textId="553B5797" w:rsidR="002F5B3E" w:rsidRDefault="00423F3B" w:rsidP="00423F3B">
      <w:pPr>
        <w:tabs>
          <w:tab w:val="left" w:pos="3553"/>
        </w:tabs>
        <w:jc w:val="left"/>
        <w:rPr>
          <w:lang w:val="de-DE"/>
        </w:rPr>
      </w:pPr>
      <w:r>
        <w:rPr>
          <w:lang w:val="de-DE"/>
        </w:rPr>
        <w:tab/>
      </w:r>
    </w:p>
    <w:p w14:paraId="17D327D1" w14:textId="4BA64FE3" w:rsidR="002F5B3E" w:rsidRDefault="002C7C13" w:rsidP="00423F3B">
      <w:pPr>
        <w:pStyle w:val="berschrift1"/>
        <w:jc w:val="left"/>
        <w:rPr>
          <w:lang w:val="de-DE"/>
        </w:rPr>
      </w:pPr>
      <w:r>
        <w:rPr>
          <w:lang w:val="de-DE"/>
        </w:rPr>
        <w:t>Einleitung</w:t>
      </w:r>
    </w:p>
    <w:p w14:paraId="5D9A0257" w14:textId="11A1AA83" w:rsidR="00A97B88" w:rsidRDefault="00423F3B" w:rsidP="00423F3B">
      <w:pPr>
        <w:jc w:val="left"/>
        <w:rPr>
          <w:lang w:val="de-DE"/>
        </w:rPr>
      </w:pPr>
      <w:r>
        <w:rPr>
          <w:lang w:val="de-DE"/>
        </w:rPr>
        <w:t>Die vorliegende Studie ist Teil eines größeren Forschungsprojektes, in dem die Ei</w:t>
      </w:r>
      <w:r>
        <w:rPr>
          <w:lang w:val="de-DE"/>
        </w:rPr>
        <w:t>n</w:t>
      </w:r>
      <w:r>
        <w:rPr>
          <w:lang w:val="de-DE"/>
        </w:rPr>
        <w:t>stellungen zur Doppelstaatsbürgerschaft im allgemeinen und zum Erwerb der öste</w:t>
      </w:r>
      <w:r>
        <w:rPr>
          <w:lang w:val="de-DE"/>
        </w:rPr>
        <w:t>r</w:t>
      </w:r>
      <w:r>
        <w:rPr>
          <w:lang w:val="de-DE"/>
        </w:rPr>
        <w:t xml:space="preserve">reichischen Staatsbürgerschaft im Besonderen bei drei Gruppen erforscht werden: bei </w:t>
      </w:r>
      <w:proofErr w:type="spellStart"/>
      <w:r>
        <w:rPr>
          <w:lang w:val="de-DE"/>
        </w:rPr>
        <w:t>SüdtirolerInnen</w:t>
      </w:r>
      <w:proofErr w:type="spellEnd"/>
      <w:r>
        <w:rPr>
          <w:lang w:val="de-DE"/>
        </w:rPr>
        <w:t xml:space="preserve">, bei </w:t>
      </w:r>
      <w:proofErr w:type="spellStart"/>
      <w:r>
        <w:rPr>
          <w:lang w:val="de-DE"/>
        </w:rPr>
        <w:t>AuslandsösterreicherInnen</w:t>
      </w:r>
      <w:proofErr w:type="spellEnd"/>
      <w:r>
        <w:rPr>
          <w:lang w:val="de-DE"/>
        </w:rPr>
        <w:t xml:space="preserve"> und bei Ausländern in Österreich. </w:t>
      </w:r>
      <w:r w:rsidR="00A97B88">
        <w:rPr>
          <w:lang w:val="de-DE"/>
        </w:rPr>
        <w:t xml:space="preserve">Ausgangspunkt </w:t>
      </w:r>
      <w:r>
        <w:rPr>
          <w:lang w:val="de-DE"/>
        </w:rPr>
        <w:t>für diese</w:t>
      </w:r>
      <w:r w:rsidR="00774A21">
        <w:rPr>
          <w:lang w:val="de-DE"/>
        </w:rPr>
        <w:t>s</w:t>
      </w:r>
      <w:r>
        <w:rPr>
          <w:lang w:val="de-DE"/>
        </w:rPr>
        <w:t xml:space="preserve"> Projekt</w:t>
      </w:r>
      <w:r w:rsidR="003E5A14">
        <w:rPr>
          <w:lang w:val="de-DE"/>
        </w:rPr>
        <w:t xml:space="preserve"> </w:t>
      </w:r>
      <w:r w:rsidR="00C05696">
        <w:rPr>
          <w:lang w:val="de-DE"/>
        </w:rPr>
        <w:t xml:space="preserve">war der Vorstoß der letzten ÖVP-FPÖ Regierung, der </w:t>
      </w:r>
      <w:r w:rsidR="0031579F">
        <w:rPr>
          <w:lang w:val="de-DE"/>
        </w:rPr>
        <w:t xml:space="preserve">Südtiroler </w:t>
      </w:r>
      <w:r w:rsidR="00C05696">
        <w:rPr>
          <w:lang w:val="de-DE"/>
        </w:rPr>
        <w:t>Bevölkerung</w:t>
      </w:r>
      <w:r>
        <w:rPr>
          <w:lang w:val="de-DE"/>
        </w:rPr>
        <w:t xml:space="preserve"> eine</w:t>
      </w:r>
      <w:r w:rsidR="00C05696">
        <w:rPr>
          <w:lang w:val="de-DE"/>
        </w:rPr>
        <w:t xml:space="preserve"> </w:t>
      </w:r>
      <w:r w:rsidR="0031579F">
        <w:rPr>
          <w:lang w:val="de-DE"/>
        </w:rPr>
        <w:t>Doppelstaats</w:t>
      </w:r>
      <w:r w:rsidR="00C05696">
        <w:rPr>
          <w:lang w:val="de-DE"/>
        </w:rPr>
        <w:t>bü</w:t>
      </w:r>
      <w:r w:rsidR="0031579F">
        <w:rPr>
          <w:lang w:val="de-DE"/>
        </w:rPr>
        <w:t>rgerschaft</w:t>
      </w:r>
      <w:r w:rsidR="00C05696">
        <w:rPr>
          <w:lang w:val="de-DE"/>
        </w:rPr>
        <w:t xml:space="preserve"> (italienisch-österreichisch) zu ermöglichen. Nachdem die Einwohnerinnen und Einwohner Südtirols zu ihrer Meinung </w:t>
      </w:r>
      <w:r w:rsidR="007B790E">
        <w:rPr>
          <w:lang w:val="de-DE"/>
        </w:rPr>
        <w:t>hinsichtlich dieses Themas befragt wurden, lag der nächste Schritt darin, die Einstellungen der im Ausland lebenden Österreicherinnen und Österreicher zur Doppelstaatsbürgerschaft zu erheben.</w:t>
      </w:r>
    </w:p>
    <w:p w14:paraId="22541F33" w14:textId="77777777" w:rsidR="009A7DD8" w:rsidRDefault="009A7DD8" w:rsidP="00423F3B">
      <w:pPr>
        <w:jc w:val="left"/>
        <w:rPr>
          <w:lang w:val="de-DE"/>
        </w:rPr>
      </w:pPr>
    </w:p>
    <w:p w14:paraId="1C25E37E" w14:textId="3A72F13E" w:rsidR="00A97B88" w:rsidRDefault="009A7DD8" w:rsidP="00423F3B">
      <w:pPr>
        <w:jc w:val="left"/>
        <w:rPr>
          <w:lang w:val="de-DE"/>
        </w:rPr>
      </w:pPr>
      <w:r>
        <w:rPr>
          <w:lang w:val="de-DE"/>
        </w:rPr>
        <w:t>D</w:t>
      </w:r>
      <w:r w:rsidR="00774A21">
        <w:rPr>
          <w:lang w:val="de-DE"/>
        </w:rPr>
        <w:t>e</w:t>
      </w:r>
      <w:r>
        <w:rPr>
          <w:lang w:val="de-DE"/>
        </w:rPr>
        <w:t>rzeit leben a</w:t>
      </w:r>
      <w:r w:rsidR="00A97B88">
        <w:rPr>
          <w:lang w:val="de-DE"/>
        </w:rPr>
        <w:t>n die 570.000 Österreicherinnen und Österreicher im Ausland</w:t>
      </w:r>
      <w:r w:rsidR="00DA60A4">
        <w:rPr>
          <w:lang w:val="de-DE"/>
        </w:rPr>
        <w:t>.</w:t>
      </w:r>
      <w:r w:rsidR="00DA60A4">
        <w:rPr>
          <w:rStyle w:val="Funotenzeichen"/>
          <w:lang w:val="de-DE"/>
        </w:rPr>
        <w:footnoteReference w:id="1"/>
      </w:r>
      <w:r w:rsidR="0031579F">
        <w:rPr>
          <w:lang w:val="de-DE"/>
        </w:rPr>
        <w:t xml:space="preserve"> Int</w:t>
      </w:r>
      <w:r w:rsidR="0031579F">
        <w:rPr>
          <w:lang w:val="de-DE"/>
        </w:rPr>
        <w:t>e</w:t>
      </w:r>
      <w:r w:rsidR="0031579F">
        <w:rPr>
          <w:lang w:val="de-DE"/>
        </w:rPr>
        <w:t xml:space="preserve">ressensvertretung und Serviceorganisation dieser Personen sowie Dachverband der in aller Welt bestehenden </w:t>
      </w:r>
      <w:proofErr w:type="spellStart"/>
      <w:r w:rsidR="0031579F">
        <w:rPr>
          <w:lang w:val="de-DE"/>
        </w:rPr>
        <w:t>Österreichervereinigungen</w:t>
      </w:r>
      <w:proofErr w:type="spellEnd"/>
      <w:r w:rsidR="0031579F">
        <w:rPr>
          <w:lang w:val="de-DE"/>
        </w:rPr>
        <w:t xml:space="preserve"> </w:t>
      </w:r>
      <w:r w:rsidR="002C7C13">
        <w:rPr>
          <w:lang w:val="de-DE"/>
        </w:rPr>
        <w:t>ist der Auslandsösterreicher Weltbund (AÖWB)</w:t>
      </w:r>
      <w:r w:rsidR="0031579F">
        <w:rPr>
          <w:lang w:val="de-DE"/>
        </w:rPr>
        <w:t xml:space="preserve">. Aktuell </w:t>
      </w:r>
      <w:r>
        <w:rPr>
          <w:lang w:val="de-DE"/>
        </w:rPr>
        <w:t>sind</w:t>
      </w:r>
      <w:r w:rsidR="0031579F">
        <w:rPr>
          <w:lang w:val="de-DE"/>
        </w:rPr>
        <w:t xml:space="preserve"> etwa </w:t>
      </w:r>
      <w:r w:rsidR="0031579F" w:rsidRPr="006A7D81">
        <w:rPr>
          <w:lang w:val="de-DE"/>
        </w:rPr>
        <w:t>10.000</w:t>
      </w:r>
      <w:r w:rsidR="0031579F">
        <w:rPr>
          <w:lang w:val="de-DE"/>
        </w:rPr>
        <w:t xml:space="preserve"> Personen Mitglied</w:t>
      </w:r>
      <w:r>
        <w:rPr>
          <w:lang w:val="de-DE"/>
        </w:rPr>
        <w:t>er</w:t>
      </w:r>
      <w:r w:rsidR="00423F3B">
        <w:rPr>
          <w:lang w:val="de-DE"/>
        </w:rPr>
        <w:t xml:space="preserve"> die</w:t>
      </w:r>
      <w:r>
        <w:rPr>
          <w:lang w:val="de-DE"/>
        </w:rPr>
        <w:t>ses</w:t>
      </w:r>
      <w:r w:rsidR="00423F3B">
        <w:rPr>
          <w:lang w:val="de-DE"/>
        </w:rPr>
        <w:t xml:space="preserve"> Verein</w:t>
      </w:r>
      <w:r>
        <w:rPr>
          <w:lang w:val="de-DE"/>
        </w:rPr>
        <w:t>s</w:t>
      </w:r>
      <w:r w:rsidR="0031579F">
        <w:rPr>
          <w:lang w:val="de-DE"/>
        </w:rPr>
        <w:t>.</w:t>
      </w:r>
      <w:r w:rsidR="007B790E">
        <w:rPr>
          <w:lang w:val="de-DE"/>
        </w:rPr>
        <w:t xml:space="preserve"> </w:t>
      </w:r>
      <w:r w:rsidR="002C7C13">
        <w:rPr>
          <w:lang w:val="de-DE"/>
        </w:rPr>
        <w:t>Der AÖWB hat</w:t>
      </w:r>
      <w:r w:rsidR="00DA60A4">
        <w:rPr>
          <w:lang w:val="de-DE"/>
        </w:rPr>
        <w:t xml:space="preserve"> </w:t>
      </w:r>
      <w:r w:rsidR="002C7C13" w:rsidRPr="006A7D81">
        <w:rPr>
          <w:lang w:val="de-DE"/>
        </w:rPr>
        <w:t xml:space="preserve">in Kooperation mit der Österreichischen Akademie </w:t>
      </w:r>
      <w:r w:rsidRPr="006A7D81">
        <w:rPr>
          <w:lang w:val="de-DE"/>
        </w:rPr>
        <w:t>der</w:t>
      </w:r>
      <w:r w:rsidR="002C7C13" w:rsidRPr="006A7D81">
        <w:rPr>
          <w:lang w:val="de-DE"/>
        </w:rPr>
        <w:t xml:space="preserve"> Wissenschaften</w:t>
      </w:r>
      <w:r w:rsidR="002C7C13">
        <w:rPr>
          <w:lang w:val="de-DE"/>
        </w:rPr>
        <w:t xml:space="preserve"> eine Umfrage </w:t>
      </w:r>
      <w:r w:rsidR="002C7C13" w:rsidRPr="00DA60A4">
        <w:rPr>
          <w:lang w:val="de-DE"/>
        </w:rPr>
        <w:t>unter seinen Mitgliedern</w:t>
      </w:r>
      <w:r w:rsidR="002C7C13">
        <w:rPr>
          <w:lang w:val="de-DE"/>
        </w:rPr>
        <w:t xml:space="preserve"> </w:t>
      </w:r>
      <w:r w:rsidR="00DA60A4">
        <w:rPr>
          <w:lang w:val="de-DE"/>
        </w:rPr>
        <w:t xml:space="preserve">zum Thema Doppelstaatsbürgerschaft </w:t>
      </w:r>
      <w:r w:rsidR="006A7792">
        <w:rPr>
          <w:lang w:val="de-DE"/>
        </w:rPr>
        <w:t>durc</w:t>
      </w:r>
      <w:r w:rsidR="006A7792">
        <w:rPr>
          <w:lang w:val="de-DE"/>
        </w:rPr>
        <w:t>h</w:t>
      </w:r>
      <w:r w:rsidR="006A7792">
        <w:rPr>
          <w:lang w:val="de-DE"/>
        </w:rPr>
        <w:t>geführt</w:t>
      </w:r>
      <w:r w:rsidR="002C7C13">
        <w:rPr>
          <w:lang w:val="de-DE"/>
        </w:rPr>
        <w:t>.</w:t>
      </w:r>
    </w:p>
    <w:p w14:paraId="383D1D7F" w14:textId="77777777" w:rsidR="004767FA" w:rsidRDefault="004767FA" w:rsidP="00423F3B">
      <w:pPr>
        <w:jc w:val="left"/>
        <w:rPr>
          <w:lang w:val="de-DE"/>
        </w:rPr>
      </w:pPr>
    </w:p>
    <w:p w14:paraId="577B300E" w14:textId="2BEF7FA0" w:rsidR="002C7C13" w:rsidRDefault="002C7C13" w:rsidP="00423F3B">
      <w:pPr>
        <w:pStyle w:val="berschrift1"/>
        <w:jc w:val="left"/>
        <w:rPr>
          <w:lang w:val="de-DE"/>
        </w:rPr>
      </w:pPr>
      <w:r>
        <w:rPr>
          <w:lang w:val="de-DE"/>
        </w:rPr>
        <w:lastRenderedPageBreak/>
        <w:t>Fragestellung</w:t>
      </w:r>
    </w:p>
    <w:p w14:paraId="0535588F" w14:textId="7DFCC9AF" w:rsidR="002C7C13" w:rsidRDefault="002C7C13" w:rsidP="00423F3B">
      <w:pPr>
        <w:jc w:val="left"/>
        <w:rPr>
          <w:lang w:val="de-DE"/>
        </w:rPr>
      </w:pPr>
      <w:r>
        <w:rPr>
          <w:lang w:val="de-DE"/>
        </w:rPr>
        <w:t xml:space="preserve">Der Fokus der Umfrage lag auf der Einstellung der Auslandsösterreicherinnen und </w:t>
      </w:r>
      <w:r w:rsidR="00D04020">
        <w:rPr>
          <w:lang w:val="de-DE"/>
        </w:rPr>
        <w:t>Auslands</w:t>
      </w:r>
      <w:r>
        <w:rPr>
          <w:lang w:val="de-DE"/>
        </w:rPr>
        <w:t>österreicher zur Doppelstaatsbürgerschaft.</w:t>
      </w:r>
      <w:r w:rsidR="003E5A14">
        <w:rPr>
          <w:lang w:val="de-DE"/>
        </w:rPr>
        <w:t xml:space="preserve"> Für den AÖWB als Interessen</w:t>
      </w:r>
      <w:r w:rsidR="003E5A14">
        <w:rPr>
          <w:lang w:val="de-DE"/>
        </w:rPr>
        <w:t>s</w:t>
      </w:r>
      <w:r w:rsidR="003E5A14">
        <w:rPr>
          <w:lang w:val="de-DE"/>
        </w:rPr>
        <w:t>vertretung dieser Personen war es außerdem relevant zu erfahren, ob es hier Unte</w:t>
      </w:r>
      <w:r w:rsidR="003E5A14">
        <w:rPr>
          <w:lang w:val="de-DE"/>
        </w:rPr>
        <w:t>r</w:t>
      </w:r>
      <w:r w:rsidR="003E5A14">
        <w:rPr>
          <w:lang w:val="de-DE"/>
        </w:rPr>
        <w:t>stützungsbedarf gibt.</w:t>
      </w:r>
    </w:p>
    <w:p w14:paraId="1BA15CBE" w14:textId="77777777" w:rsidR="004767FA" w:rsidRPr="002C7C13" w:rsidRDefault="004767FA" w:rsidP="00423F3B">
      <w:pPr>
        <w:jc w:val="left"/>
        <w:rPr>
          <w:lang w:val="de-DE"/>
        </w:rPr>
      </w:pPr>
    </w:p>
    <w:p w14:paraId="1AAB422A" w14:textId="6E73CF9C" w:rsidR="002F5B3E" w:rsidRDefault="002F5B3E" w:rsidP="00423F3B">
      <w:pPr>
        <w:pStyle w:val="berschrift1"/>
        <w:jc w:val="left"/>
        <w:rPr>
          <w:lang w:val="de-DE"/>
        </w:rPr>
      </w:pPr>
      <w:r>
        <w:rPr>
          <w:lang w:val="de-DE"/>
        </w:rPr>
        <w:t>Erhebung</w:t>
      </w:r>
      <w:r w:rsidR="009A7DD8">
        <w:rPr>
          <w:lang w:val="de-DE"/>
        </w:rPr>
        <w:t>smethodik</w:t>
      </w:r>
    </w:p>
    <w:p w14:paraId="1421B683" w14:textId="7996C976" w:rsidR="005B140B" w:rsidRDefault="009A7DD8" w:rsidP="00423F3B">
      <w:pPr>
        <w:jc w:val="left"/>
        <w:rPr>
          <w:lang w:val="de-DE"/>
        </w:rPr>
      </w:pPr>
      <w:r>
        <w:rPr>
          <w:lang w:val="de-DE"/>
        </w:rPr>
        <w:t xml:space="preserve">Es wurde ein standardisierter </w:t>
      </w:r>
      <w:r w:rsidR="004A6393">
        <w:rPr>
          <w:lang w:val="de-DE"/>
        </w:rPr>
        <w:t>Fragebogen</w:t>
      </w:r>
      <w:r>
        <w:rPr>
          <w:lang w:val="de-DE"/>
        </w:rPr>
        <w:t xml:space="preserve"> entwickelt, in den</w:t>
      </w:r>
      <w:r w:rsidR="004A6393">
        <w:rPr>
          <w:lang w:val="de-DE"/>
        </w:rPr>
        <w:t xml:space="preserve"> 27 Fragen beziehung</w:t>
      </w:r>
      <w:r w:rsidR="004A6393">
        <w:rPr>
          <w:lang w:val="de-DE"/>
        </w:rPr>
        <w:t>s</w:t>
      </w:r>
      <w:r w:rsidR="004A6393">
        <w:rPr>
          <w:lang w:val="de-DE"/>
        </w:rPr>
        <w:t>weise Aussagen aufgenomm</w:t>
      </w:r>
      <w:r w:rsidR="003E5A14">
        <w:rPr>
          <w:lang w:val="de-DE"/>
        </w:rPr>
        <w:t>en</w:t>
      </w:r>
      <w:r>
        <w:rPr>
          <w:lang w:val="de-DE"/>
        </w:rPr>
        <w:t xml:space="preserve"> wurden</w:t>
      </w:r>
      <w:r w:rsidR="00FB7B6B">
        <w:rPr>
          <w:lang w:val="de-DE"/>
        </w:rPr>
        <w:t>.</w:t>
      </w:r>
      <w:r>
        <w:rPr>
          <w:lang w:val="de-DE"/>
        </w:rPr>
        <w:t xml:space="preserve"> Ein Teil der Fragen war auch in der Erh</w:t>
      </w:r>
      <w:r>
        <w:rPr>
          <w:lang w:val="de-DE"/>
        </w:rPr>
        <w:t>e</w:t>
      </w:r>
      <w:r>
        <w:rPr>
          <w:lang w:val="de-DE"/>
        </w:rPr>
        <w:t>bung in Südtirol gestellt worden, sodass die Ergebnisse mit jener Erhebung ve</w:t>
      </w:r>
      <w:r>
        <w:rPr>
          <w:lang w:val="de-DE"/>
        </w:rPr>
        <w:t>r</w:t>
      </w:r>
      <w:r w:rsidR="00774A21">
        <w:rPr>
          <w:lang w:val="de-DE"/>
        </w:rPr>
        <w:t>gleichbar sind.</w:t>
      </w:r>
      <w:r w:rsidR="00FB7B6B">
        <w:rPr>
          <w:lang w:val="de-DE"/>
        </w:rPr>
        <w:t xml:space="preserve"> </w:t>
      </w:r>
      <w:r w:rsidR="005B140B">
        <w:rPr>
          <w:lang w:val="de-DE"/>
        </w:rPr>
        <w:t xml:space="preserve">Die Befragung wurde mittels </w:t>
      </w:r>
      <w:r w:rsidR="00FB7B6B">
        <w:rPr>
          <w:lang w:val="de-DE"/>
        </w:rPr>
        <w:t>Online-</w:t>
      </w:r>
      <w:r w:rsidR="005B140B">
        <w:rPr>
          <w:lang w:val="de-DE"/>
        </w:rPr>
        <w:t>Umfrage (mit SurveyMonkey) durchgeführt. Ein Link</w:t>
      </w:r>
      <w:r w:rsidR="00A97B88">
        <w:rPr>
          <w:lang w:val="de-DE"/>
        </w:rPr>
        <w:t xml:space="preserve"> zur Umfrage wurde über die </w:t>
      </w:r>
      <w:r w:rsidR="00A97B88" w:rsidRPr="00FB7B6B">
        <w:rPr>
          <w:lang w:val="de-DE"/>
        </w:rPr>
        <w:t xml:space="preserve">Verteilerlisten </w:t>
      </w:r>
      <w:r w:rsidR="0053695D">
        <w:rPr>
          <w:lang w:val="de-DE"/>
        </w:rPr>
        <w:t xml:space="preserve">und </w:t>
      </w:r>
      <w:proofErr w:type="spellStart"/>
      <w:r w:rsidR="0053695D">
        <w:rPr>
          <w:lang w:val="de-DE"/>
        </w:rPr>
        <w:t>Social</w:t>
      </w:r>
      <w:proofErr w:type="spellEnd"/>
      <w:r w:rsidR="0053695D">
        <w:rPr>
          <w:lang w:val="de-DE"/>
        </w:rPr>
        <w:t xml:space="preserve"> Media Kanäle </w:t>
      </w:r>
      <w:r w:rsidR="00A97B88" w:rsidRPr="00FB7B6B">
        <w:rPr>
          <w:lang w:val="de-DE"/>
        </w:rPr>
        <w:t>des AÖWB</w:t>
      </w:r>
      <w:r>
        <w:rPr>
          <w:lang w:val="de-DE"/>
        </w:rPr>
        <w:t xml:space="preserve"> und seiner Verbände in den verschiedenen Ländern</w:t>
      </w:r>
      <w:r w:rsidR="00A97B88" w:rsidRPr="00FB7B6B">
        <w:rPr>
          <w:lang w:val="de-DE"/>
        </w:rPr>
        <w:t xml:space="preserve"> </w:t>
      </w:r>
      <w:r w:rsidR="00A97B88">
        <w:rPr>
          <w:lang w:val="de-DE"/>
        </w:rPr>
        <w:t xml:space="preserve">ausgesandt. Die Umfrage war vom </w:t>
      </w:r>
      <w:r w:rsidR="00FB7B6B">
        <w:rPr>
          <w:lang w:val="de-DE"/>
        </w:rPr>
        <w:t>11.09.2019</w:t>
      </w:r>
      <w:r w:rsidR="00A97B88">
        <w:rPr>
          <w:lang w:val="de-DE"/>
        </w:rPr>
        <w:t xml:space="preserve"> bis zum </w:t>
      </w:r>
      <w:r w:rsidR="00FB7B6B">
        <w:rPr>
          <w:lang w:val="de-DE"/>
        </w:rPr>
        <w:t>16.10.2019</w:t>
      </w:r>
      <w:r w:rsidR="002C7C13">
        <w:rPr>
          <w:lang w:val="de-DE"/>
        </w:rPr>
        <w:t xml:space="preserve"> online</w:t>
      </w:r>
      <w:r>
        <w:rPr>
          <w:lang w:val="de-DE"/>
        </w:rPr>
        <w:t>. I</w:t>
      </w:r>
      <w:r w:rsidR="00A97B88">
        <w:rPr>
          <w:lang w:val="de-DE"/>
        </w:rPr>
        <w:t>nsgesamt haben 2.403 Personen teilge</w:t>
      </w:r>
      <w:r>
        <w:rPr>
          <w:lang w:val="de-DE"/>
        </w:rPr>
        <w:t>nommen, was deutlich über den Erwartungen lag.</w:t>
      </w:r>
    </w:p>
    <w:p w14:paraId="186FA311" w14:textId="77777777" w:rsidR="004767FA" w:rsidRPr="005B140B" w:rsidRDefault="004767FA" w:rsidP="00423F3B">
      <w:pPr>
        <w:jc w:val="left"/>
        <w:rPr>
          <w:lang w:val="de-DE"/>
        </w:rPr>
      </w:pPr>
    </w:p>
    <w:p w14:paraId="6002A0D5" w14:textId="5911592F" w:rsidR="002F5B3E" w:rsidRDefault="002F5B3E" w:rsidP="00423F3B">
      <w:pPr>
        <w:pStyle w:val="berschrift1"/>
        <w:jc w:val="left"/>
        <w:rPr>
          <w:lang w:val="de-DE"/>
        </w:rPr>
      </w:pPr>
      <w:r>
        <w:rPr>
          <w:lang w:val="de-DE"/>
        </w:rPr>
        <w:t>Deskriptive Beschreibung der Stichprobe</w:t>
      </w:r>
    </w:p>
    <w:p w14:paraId="37F2978E" w14:textId="54FFACA2" w:rsidR="009A7DD8" w:rsidRDefault="008A3FFF" w:rsidP="00423F3B">
      <w:pPr>
        <w:jc w:val="left"/>
        <w:rPr>
          <w:lang w:val="de-DE"/>
        </w:rPr>
      </w:pPr>
      <w:r>
        <w:rPr>
          <w:lang w:val="de-DE"/>
        </w:rPr>
        <w:t>Die Stichprobe setzt sich wie folgt zusammen: Die 2.403 Befragten besitzen mit überwiegender Mehrheit (9</w:t>
      </w:r>
      <w:r w:rsidR="009A7DD8">
        <w:rPr>
          <w:lang w:val="de-DE"/>
        </w:rPr>
        <w:t>8</w:t>
      </w:r>
      <w:r>
        <w:rPr>
          <w:lang w:val="de-DE"/>
        </w:rPr>
        <w:t>%)</w:t>
      </w:r>
      <w:r w:rsidR="009A7DD8">
        <w:rPr>
          <w:rStyle w:val="Funotenzeichen"/>
          <w:lang w:val="de-DE"/>
        </w:rPr>
        <w:footnoteReference w:id="2"/>
      </w:r>
      <w:r>
        <w:rPr>
          <w:lang w:val="de-DE"/>
        </w:rPr>
        <w:t xml:space="preserve"> die österreichische Staatsbürgerschaft, d</w:t>
      </w:r>
      <w:r w:rsidR="009A7DD8">
        <w:rPr>
          <w:lang w:val="de-DE"/>
        </w:rPr>
        <w:t xml:space="preserve">ie Mehrheit </w:t>
      </w:r>
      <w:r>
        <w:rPr>
          <w:lang w:val="de-DE"/>
        </w:rPr>
        <w:t>(</w:t>
      </w:r>
      <w:r w:rsidR="009A7DD8">
        <w:rPr>
          <w:lang w:val="de-DE"/>
        </w:rPr>
        <w:t>90</w:t>
      </w:r>
      <w:r>
        <w:rPr>
          <w:lang w:val="de-DE"/>
        </w:rPr>
        <w:t xml:space="preserve">%) hat </w:t>
      </w:r>
      <w:r w:rsidR="009A7DD8">
        <w:rPr>
          <w:lang w:val="de-DE"/>
        </w:rPr>
        <w:t>nur die österreichische S</w:t>
      </w:r>
      <w:r>
        <w:rPr>
          <w:lang w:val="de-DE"/>
        </w:rPr>
        <w:t>taatsbürgerschaft.</w:t>
      </w:r>
      <w:r w:rsidR="009E7394">
        <w:rPr>
          <w:lang w:val="de-DE"/>
        </w:rPr>
        <w:t xml:space="preserve"> Beinahe die Hälfte der Befra</w:t>
      </w:r>
      <w:r w:rsidR="009E7394">
        <w:rPr>
          <w:lang w:val="de-DE"/>
        </w:rPr>
        <w:t>g</w:t>
      </w:r>
      <w:r w:rsidR="00570EF7">
        <w:rPr>
          <w:lang w:val="de-DE"/>
        </w:rPr>
        <w:t>ten (48</w:t>
      </w:r>
      <w:r w:rsidR="009E7394">
        <w:rPr>
          <w:lang w:val="de-DE"/>
        </w:rPr>
        <w:t xml:space="preserve">%) lebt seit über 20 Jahren im Gastland. Umgekehrt hat etwas über die Hälfte </w:t>
      </w:r>
      <w:r w:rsidR="00041E4A">
        <w:rPr>
          <w:lang w:val="de-DE"/>
        </w:rPr>
        <w:t xml:space="preserve">der Teilnehmerinnen und Teilnehmer </w:t>
      </w:r>
      <w:r w:rsidR="00570EF7">
        <w:rPr>
          <w:lang w:val="de-DE"/>
        </w:rPr>
        <w:t>(56</w:t>
      </w:r>
      <w:r w:rsidR="009E7394">
        <w:rPr>
          <w:lang w:val="de-DE"/>
        </w:rPr>
        <w:t>%) 20 bis 29 Jahre ihres Lebens in Öste</w:t>
      </w:r>
      <w:r w:rsidR="009E7394">
        <w:rPr>
          <w:lang w:val="de-DE"/>
        </w:rPr>
        <w:t>r</w:t>
      </w:r>
      <w:r w:rsidR="009E7394">
        <w:rPr>
          <w:lang w:val="de-DE"/>
        </w:rPr>
        <w:t xml:space="preserve">reich verbracht. </w:t>
      </w:r>
    </w:p>
    <w:p w14:paraId="49B1C64C" w14:textId="77777777" w:rsidR="0031278D" w:rsidRDefault="0031278D" w:rsidP="00423F3B">
      <w:pPr>
        <w:jc w:val="left"/>
        <w:rPr>
          <w:lang w:val="de-DE"/>
        </w:rPr>
      </w:pPr>
    </w:p>
    <w:p w14:paraId="3FF17B46" w14:textId="5EE9FF4F" w:rsidR="00D17394" w:rsidRDefault="00D17394" w:rsidP="00423F3B">
      <w:pPr>
        <w:jc w:val="left"/>
        <w:rPr>
          <w:lang w:val="de-DE"/>
        </w:rPr>
      </w:pPr>
      <w:r w:rsidRPr="00D17394">
        <w:rPr>
          <w:u w:val="single"/>
          <w:lang w:val="de-DE"/>
        </w:rPr>
        <w:t>Tabelle 1</w:t>
      </w:r>
      <w:r>
        <w:rPr>
          <w:lang w:val="de-DE"/>
        </w:rPr>
        <w:t xml:space="preserve"> zeigt die Verteilung der Antwortenden nach Ländern bzw. Weltregionen. Dabei wurden einzelne Länder, in denen sehr viele ÖsterreicherInnen leben, eigens ausgewiesen; die restlichen wurden in Gruppen zusammengefasst. Zwei Fakten sind wichtig, die sich hier </w:t>
      </w:r>
      <w:r w:rsidR="00774A21">
        <w:rPr>
          <w:lang w:val="de-DE"/>
        </w:rPr>
        <w:t>zeigen.</w:t>
      </w:r>
      <w:r>
        <w:rPr>
          <w:lang w:val="de-DE"/>
        </w:rPr>
        <w:t xml:space="preserve"> Zum einen sehen wir, dass die AÖWB-Umfrage Öste</w:t>
      </w:r>
      <w:r>
        <w:rPr>
          <w:lang w:val="de-DE"/>
        </w:rPr>
        <w:t>r</w:t>
      </w:r>
      <w:r>
        <w:rPr>
          <w:lang w:val="de-DE"/>
        </w:rPr>
        <w:t>reicherInnen in allen Ländern bzw. Regionen Europas, aber auch außerhalb Europas erfasste. Zum anderen zeigen sich auch gewisse Abweichungen der erfassten Pe</w:t>
      </w:r>
      <w:r>
        <w:rPr>
          <w:lang w:val="de-DE"/>
        </w:rPr>
        <w:t>r</w:t>
      </w:r>
      <w:r>
        <w:rPr>
          <w:lang w:val="de-DE"/>
        </w:rPr>
        <w:t xml:space="preserve">sonen von der Verteilung aller </w:t>
      </w:r>
      <w:proofErr w:type="spellStart"/>
      <w:r>
        <w:rPr>
          <w:lang w:val="de-DE"/>
        </w:rPr>
        <w:t>AuslandsösterreicherInnen</w:t>
      </w:r>
      <w:proofErr w:type="spellEnd"/>
      <w:r>
        <w:rPr>
          <w:lang w:val="de-DE"/>
        </w:rPr>
        <w:t>:</w:t>
      </w:r>
      <w:r w:rsidR="00647597">
        <w:rPr>
          <w:lang w:val="de-DE"/>
        </w:rPr>
        <w:t xml:space="preserve"> Deutlich unter</w:t>
      </w:r>
      <w:r>
        <w:rPr>
          <w:lang w:val="de-DE"/>
        </w:rPr>
        <w:t xml:space="preserve">repräsentiert </w:t>
      </w:r>
      <w:r>
        <w:rPr>
          <w:lang w:val="de-DE"/>
        </w:rPr>
        <w:lastRenderedPageBreak/>
        <w:t>sind</w:t>
      </w:r>
      <w:r w:rsidR="00647597">
        <w:rPr>
          <w:lang w:val="de-DE"/>
        </w:rPr>
        <w:t xml:space="preserve"> ÖsterreicherInnen in Deutschland (dort lebt der mit Abstand größte Anteil), te</w:t>
      </w:r>
      <w:r w:rsidR="00647597">
        <w:rPr>
          <w:lang w:val="de-DE"/>
        </w:rPr>
        <w:t>n</w:t>
      </w:r>
      <w:r w:rsidR="00647597">
        <w:rPr>
          <w:lang w:val="de-DE"/>
        </w:rPr>
        <w:t xml:space="preserve">denziell auch in der Schweiz und Süd- und Osteuropa; überrepräsentiert jedoch jene in Großbritannien und dem übrigen Nord- und Westeuropa und den USA. </w:t>
      </w:r>
      <w:r w:rsidR="00647597" w:rsidRPr="00CC5466">
        <w:rPr>
          <w:lang w:val="de-DE"/>
        </w:rPr>
        <w:t>Dies ist verständlich, mag ja für Österreicher in Deutschland der Erwerb der dortigen Staat</w:t>
      </w:r>
      <w:r w:rsidR="00647597" w:rsidRPr="00CC5466">
        <w:rPr>
          <w:lang w:val="de-DE"/>
        </w:rPr>
        <w:t>s</w:t>
      </w:r>
      <w:r w:rsidR="00647597" w:rsidRPr="00CC5466">
        <w:rPr>
          <w:lang w:val="de-DE"/>
        </w:rPr>
        <w:t>bürgerschaft kaum Vorteile mit sich bringen.</w:t>
      </w:r>
      <w:r w:rsidR="00647597">
        <w:rPr>
          <w:lang w:val="de-DE"/>
        </w:rPr>
        <w:t xml:space="preserve"> Diese Verzerrungen der Stichprobe g</w:t>
      </w:r>
      <w:r w:rsidR="00647597">
        <w:rPr>
          <w:lang w:val="de-DE"/>
        </w:rPr>
        <w:t>e</w:t>
      </w:r>
      <w:r w:rsidR="00647597">
        <w:rPr>
          <w:lang w:val="de-DE"/>
        </w:rPr>
        <w:t>genüber der Verteilung aller Auslandösterreicherinnen erklärt auch die Überrepräse</w:t>
      </w:r>
      <w:r w:rsidR="00647597">
        <w:rPr>
          <w:lang w:val="de-DE"/>
        </w:rPr>
        <w:t>n</w:t>
      </w:r>
      <w:r w:rsidR="00647597">
        <w:rPr>
          <w:lang w:val="de-DE"/>
        </w:rPr>
        <w:t>tation der Personen mit höherer Bildung; in Deutschland sind sicherlich auch viele Arbeiter und einfache Angestellte erwerbstätig, während in den anderssprachigen, vor allem angelsächsischen Ländern höher qualifizierte Erwerbstätige (Techniker und Ingenieur, Wissenschaftler, Manager usw.) stärker vertreten sein werden.</w:t>
      </w:r>
    </w:p>
    <w:p w14:paraId="12713C54" w14:textId="50F8C98D" w:rsidR="00E60903" w:rsidRDefault="00E60903" w:rsidP="00423F3B">
      <w:pPr>
        <w:jc w:val="left"/>
        <w:rPr>
          <w:lang w:val="de-DE"/>
        </w:rPr>
      </w:pPr>
    </w:p>
    <w:p w14:paraId="7358F425" w14:textId="5AC887E5" w:rsidR="0026795B" w:rsidRPr="00D17394" w:rsidRDefault="0026795B" w:rsidP="00423F3B">
      <w:pPr>
        <w:jc w:val="left"/>
        <w:rPr>
          <w:lang w:val="de-DE"/>
        </w:rPr>
      </w:pPr>
      <w:r w:rsidRPr="00D17394">
        <w:rPr>
          <w:u w:val="single"/>
          <w:lang w:val="de-DE"/>
        </w:rPr>
        <w:t>Tabelle 1</w:t>
      </w:r>
      <w:r>
        <w:rPr>
          <w:lang w:val="de-DE"/>
        </w:rPr>
        <w:t xml:space="preserve">: Die Verteilung </w:t>
      </w:r>
      <w:r w:rsidR="006A5BA4">
        <w:rPr>
          <w:lang w:val="de-DE"/>
        </w:rPr>
        <w:t>all</w:t>
      </w:r>
      <w:r>
        <w:rPr>
          <w:lang w:val="de-DE"/>
        </w:rPr>
        <w:t xml:space="preserve">er </w:t>
      </w:r>
      <w:proofErr w:type="spellStart"/>
      <w:r>
        <w:rPr>
          <w:lang w:val="de-DE"/>
        </w:rPr>
        <w:t>AuslandsösterreicherInnen</w:t>
      </w:r>
      <w:proofErr w:type="spellEnd"/>
      <w:r w:rsidR="006A5BA4">
        <w:rPr>
          <w:lang w:val="de-DE"/>
        </w:rPr>
        <w:t xml:space="preserve"> und der Befragten</w:t>
      </w:r>
      <w:r>
        <w:rPr>
          <w:lang w:val="de-DE"/>
        </w:rPr>
        <w:t xml:space="preserve"> nach Ländern bzw. Weltregionen in Prozent</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4219"/>
        <w:gridCol w:w="2552"/>
        <w:gridCol w:w="2517"/>
      </w:tblGrid>
      <w:tr w:rsidR="00D17394" w:rsidRPr="00CF58EE" w14:paraId="21ECA7EF" w14:textId="113F4541" w:rsidTr="00CF58EE">
        <w:tc>
          <w:tcPr>
            <w:tcW w:w="4219" w:type="dxa"/>
            <w:vAlign w:val="center"/>
          </w:tcPr>
          <w:p w14:paraId="2EC11B11" w14:textId="369B2C0C" w:rsidR="00D17394" w:rsidRPr="00CF58EE" w:rsidRDefault="00D17394" w:rsidP="00E60903">
            <w:pPr>
              <w:jc w:val="left"/>
              <w:rPr>
                <w:sz w:val="22"/>
                <w:lang w:val="de-DE"/>
              </w:rPr>
            </w:pPr>
            <w:r w:rsidRPr="00CF58EE">
              <w:rPr>
                <w:sz w:val="22"/>
                <w:lang w:val="de-DE"/>
              </w:rPr>
              <w:t>Land bzw. Region</w:t>
            </w:r>
          </w:p>
        </w:tc>
        <w:tc>
          <w:tcPr>
            <w:tcW w:w="2552" w:type="dxa"/>
          </w:tcPr>
          <w:p w14:paraId="413824E8" w14:textId="59730445" w:rsidR="00D17394" w:rsidRPr="00CF58EE" w:rsidRDefault="00D17394" w:rsidP="00E60903">
            <w:pPr>
              <w:jc w:val="center"/>
              <w:rPr>
                <w:sz w:val="22"/>
                <w:lang w:val="de-DE"/>
              </w:rPr>
            </w:pPr>
            <w:r w:rsidRPr="00CF58EE">
              <w:rPr>
                <w:sz w:val="22"/>
                <w:lang w:val="de-DE"/>
              </w:rPr>
              <w:t>Alle Auslands-</w:t>
            </w:r>
            <w:proofErr w:type="spellStart"/>
            <w:r w:rsidRPr="00CF58EE">
              <w:rPr>
                <w:sz w:val="22"/>
                <w:lang w:val="de-DE"/>
              </w:rPr>
              <w:t>österreicherInnen</w:t>
            </w:r>
            <w:proofErr w:type="spellEnd"/>
            <w:r w:rsidR="00E60903" w:rsidRPr="00CF58EE">
              <w:rPr>
                <w:sz w:val="22"/>
                <w:lang w:val="de-DE"/>
              </w:rPr>
              <w:t xml:space="preserve"> 2019*</w:t>
            </w:r>
          </w:p>
        </w:tc>
        <w:tc>
          <w:tcPr>
            <w:tcW w:w="2517" w:type="dxa"/>
          </w:tcPr>
          <w:p w14:paraId="435077E6" w14:textId="3376B733" w:rsidR="00D17394" w:rsidRPr="00CF58EE" w:rsidRDefault="00D17394" w:rsidP="00E60903">
            <w:pPr>
              <w:jc w:val="center"/>
              <w:rPr>
                <w:sz w:val="22"/>
                <w:lang w:val="de-DE"/>
              </w:rPr>
            </w:pPr>
            <w:r w:rsidRPr="00CF58EE">
              <w:rPr>
                <w:sz w:val="22"/>
                <w:lang w:val="de-DE"/>
              </w:rPr>
              <w:t>Stichprobe der AÖWB-Umfrage</w:t>
            </w:r>
          </w:p>
        </w:tc>
      </w:tr>
      <w:tr w:rsidR="00D17394" w:rsidRPr="00CF58EE" w14:paraId="6DF752A0" w14:textId="01148F9F" w:rsidTr="00CF58EE">
        <w:tc>
          <w:tcPr>
            <w:tcW w:w="4219" w:type="dxa"/>
            <w:vAlign w:val="center"/>
          </w:tcPr>
          <w:p w14:paraId="0EF33286" w14:textId="6C5EDF70" w:rsidR="00D17394" w:rsidRPr="00CF58EE" w:rsidRDefault="00D17394" w:rsidP="00E60903">
            <w:pPr>
              <w:jc w:val="left"/>
              <w:rPr>
                <w:sz w:val="22"/>
                <w:lang w:val="de-DE"/>
              </w:rPr>
            </w:pPr>
            <w:r w:rsidRPr="00CF58EE">
              <w:rPr>
                <w:sz w:val="22"/>
                <w:lang w:val="de-DE"/>
              </w:rPr>
              <w:t>Deutschland</w:t>
            </w:r>
          </w:p>
        </w:tc>
        <w:tc>
          <w:tcPr>
            <w:tcW w:w="2552" w:type="dxa"/>
          </w:tcPr>
          <w:p w14:paraId="22E60916" w14:textId="62779F82" w:rsidR="00D17394" w:rsidRPr="00CF58EE" w:rsidRDefault="00D17394" w:rsidP="00E60903">
            <w:pPr>
              <w:jc w:val="center"/>
              <w:rPr>
                <w:sz w:val="22"/>
                <w:lang w:val="de-DE"/>
              </w:rPr>
            </w:pPr>
            <w:r w:rsidRPr="00CF58EE">
              <w:rPr>
                <w:sz w:val="22"/>
                <w:lang w:val="de-DE"/>
              </w:rPr>
              <w:t>47</w:t>
            </w:r>
          </w:p>
        </w:tc>
        <w:tc>
          <w:tcPr>
            <w:tcW w:w="2517" w:type="dxa"/>
          </w:tcPr>
          <w:p w14:paraId="0CD66ACE" w14:textId="222F2448" w:rsidR="00D17394" w:rsidRPr="00CF58EE" w:rsidRDefault="00D17394" w:rsidP="00E60903">
            <w:pPr>
              <w:jc w:val="center"/>
              <w:rPr>
                <w:sz w:val="22"/>
                <w:lang w:val="de-DE"/>
              </w:rPr>
            </w:pPr>
            <w:r w:rsidRPr="00CF58EE">
              <w:rPr>
                <w:sz w:val="22"/>
                <w:lang w:val="de-DE"/>
              </w:rPr>
              <w:t>22</w:t>
            </w:r>
          </w:p>
        </w:tc>
      </w:tr>
      <w:tr w:rsidR="00D17394" w:rsidRPr="00CF58EE" w14:paraId="27C16824" w14:textId="18CC227A" w:rsidTr="00CF58EE">
        <w:tc>
          <w:tcPr>
            <w:tcW w:w="4219" w:type="dxa"/>
            <w:vAlign w:val="center"/>
          </w:tcPr>
          <w:p w14:paraId="4429C8D3" w14:textId="058FA0C5" w:rsidR="00D17394" w:rsidRPr="00CF58EE" w:rsidRDefault="00D17394" w:rsidP="00E60903">
            <w:pPr>
              <w:jc w:val="left"/>
              <w:rPr>
                <w:sz w:val="22"/>
                <w:lang w:val="de-DE"/>
              </w:rPr>
            </w:pPr>
            <w:r w:rsidRPr="00CF58EE">
              <w:rPr>
                <w:sz w:val="22"/>
                <w:lang w:val="de-DE"/>
              </w:rPr>
              <w:t>Schweiz, Liechtenstein</w:t>
            </w:r>
          </w:p>
        </w:tc>
        <w:tc>
          <w:tcPr>
            <w:tcW w:w="2552" w:type="dxa"/>
          </w:tcPr>
          <w:p w14:paraId="120A1482" w14:textId="72176B66" w:rsidR="00D17394" w:rsidRPr="00CF58EE" w:rsidRDefault="00D17394" w:rsidP="00E60903">
            <w:pPr>
              <w:jc w:val="center"/>
              <w:rPr>
                <w:sz w:val="22"/>
                <w:lang w:val="de-DE"/>
              </w:rPr>
            </w:pPr>
            <w:r w:rsidRPr="00CF58EE">
              <w:rPr>
                <w:sz w:val="22"/>
                <w:lang w:val="de-DE"/>
              </w:rPr>
              <w:t>12</w:t>
            </w:r>
          </w:p>
        </w:tc>
        <w:tc>
          <w:tcPr>
            <w:tcW w:w="2517" w:type="dxa"/>
          </w:tcPr>
          <w:p w14:paraId="6A5365CA" w14:textId="07800CFD" w:rsidR="00D17394" w:rsidRPr="00CF58EE" w:rsidRDefault="00D17394" w:rsidP="00E60903">
            <w:pPr>
              <w:jc w:val="center"/>
              <w:rPr>
                <w:sz w:val="22"/>
                <w:lang w:val="de-DE"/>
              </w:rPr>
            </w:pPr>
            <w:r w:rsidRPr="00CF58EE">
              <w:rPr>
                <w:sz w:val="22"/>
                <w:lang w:val="de-DE"/>
              </w:rPr>
              <w:t>10</w:t>
            </w:r>
          </w:p>
        </w:tc>
      </w:tr>
      <w:tr w:rsidR="00D17394" w:rsidRPr="00CF58EE" w14:paraId="67E4EC86" w14:textId="1C74F92C" w:rsidTr="00CF58EE">
        <w:tc>
          <w:tcPr>
            <w:tcW w:w="4219" w:type="dxa"/>
            <w:vAlign w:val="center"/>
          </w:tcPr>
          <w:p w14:paraId="41C4E74C" w14:textId="6B86B471" w:rsidR="00D17394" w:rsidRPr="00CF58EE" w:rsidRDefault="00D17394" w:rsidP="00E60903">
            <w:pPr>
              <w:jc w:val="left"/>
              <w:rPr>
                <w:sz w:val="22"/>
                <w:lang w:val="de-DE"/>
              </w:rPr>
            </w:pPr>
            <w:r w:rsidRPr="00CF58EE">
              <w:rPr>
                <w:sz w:val="22"/>
                <w:lang w:val="de-DE"/>
              </w:rPr>
              <w:t xml:space="preserve">Nord- und Westeuropa (B, Alb, DK, FI, F, </w:t>
            </w:r>
            <w:proofErr w:type="spellStart"/>
            <w:r w:rsidRPr="00CF58EE">
              <w:rPr>
                <w:sz w:val="22"/>
                <w:lang w:val="de-DE"/>
              </w:rPr>
              <w:t>Irl</w:t>
            </w:r>
            <w:proofErr w:type="spellEnd"/>
            <w:r w:rsidRPr="00CF58EE">
              <w:rPr>
                <w:sz w:val="22"/>
                <w:lang w:val="de-DE"/>
              </w:rPr>
              <w:t xml:space="preserve">, </w:t>
            </w:r>
            <w:proofErr w:type="spellStart"/>
            <w:r w:rsidRPr="00CF58EE">
              <w:rPr>
                <w:sz w:val="22"/>
                <w:lang w:val="de-DE"/>
              </w:rPr>
              <w:t>Isl</w:t>
            </w:r>
            <w:proofErr w:type="spellEnd"/>
            <w:r w:rsidRPr="00CF58EE">
              <w:rPr>
                <w:sz w:val="22"/>
                <w:lang w:val="de-DE"/>
              </w:rPr>
              <w:t xml:space="preserve">, Lux, NL, Nor, </w:t>
            </w:r>
            <w:proofErr w:type="spellStart"/>
            <w:r w:rsidRPr="00CF58EE">
              <w:rPr>
                <w:sz w:val="22"/>
                <w:lang w:val="de-DE"/>
              </w:rPr>
              <w:t>Swe</w:t>
            </w:r>
            <w:proofErr w:type="spellEnd"/>
            <w:r w:rsidRPr="00CF58EE">
              <w:rPr>
                <w:sz w:val="22"/>
                <w:lang w:val="de-DE"/>
              </w:rPr>
              <w:t>)</w:t>
            </w:r>
          </w:p>
        </w:tc>
        <w:tc>
          <w:tcPr>
            <w:tcW w:w="2552" w:type="dxa"/>
          </w:tcPr>
          <w:p w14:paraId="39EA2D9F" w14:textId="29C555A7" w:rsidR="00D17394" w:rsidRPr="00CF58EE" w:rsidRDefault="00D17394" w:rsidP="00E60903">
            <w:pPr>
              <w:jc w:val="center"/>
              <w:rPr>
                <w:sz w:val="22"/>
                <w:lang w:val="de-DE"/>
              </w:rPr>
            </w:pPr>
            <w:r w:rsidRPr="00CF58EE">
              <w:rPr>
                <w:sz w:val="22"/>
                <w:lang w:val="de-DE"/>
              </w:rPr>
              <w:t>5</w:t>
            </w:r>
          </w:p>
        </w:tc>
        <w:tc>
          <w:tcPr>
            <w:tcW w:w="2517" w:type="dxa"/>
          </w:tcPr>
          <w:p w14:paraId="4E87D5BD" w14:textId="1273B23A" w:rsidR="00D17394" w:rsidRPr="00CF58EE" w:rsidRDefault="00D17394" w:rsidP="00E60903">
            <w:pPr>
              <w:jc w:val="center"/>
              <w:rPr>
                <w:sz w:val="22"/>
                <w:lang w:val="de-DE"/>
              </w:rPr>
            </w:pPr>
            <w:r w:rsidRPr="00CF58EE">
              <w:rPr>
                <w:sz w:val="22"/>
                <w:lang w:val="de-DE"/>
              </w:rPr>
              <w:t>14</w:t>
            </w:r>
          </w:p>
        </w:tc>
      </w:tr>
      <w:tr w:rsidR="00D17394" w:rsidRPr="00CF58EE" w14:paraId="77FFA60B" w14:textId="4C1F9BCF" w:rsidTr="00CF58EE">
        <w:tc>
          <w:tcPr>
            <w:tcW w:w="4219" w:type="dxa"/>
            <w:vAlign w:val="center"/>
          </w:tcPr>
          <w:p w14:paraId="5452C09F" w14:textId="5F493620" w:rsidR="00D17394" w:rsidRPr="00CF58EE" w:rsidRDefault="00D17394" w:rsidP="00E60903">
            <w:pPr>
              <w:jc w:val="left"/>
              <w:rPr>
                <w:sz w:val="22"/>
                <w:lang w:val="de-DE"/>
              </w:rPr>
            </w:pPr>
            <w:r w:rsidRPr="00CF58EE">
              <w:rPr>
                <w:sz w:val="22"/>
                <w:lang w:val="de-DE"/>
              </w:rPr>
              <w:t>Süd- und Osteuropa (alle anderen eur</w:t>
            </w:r>
            <w:r w:rsidRPr="00CF58EE">
              <w:rPr>
                <w:sz w:val="22"/>
                <w:lang w:val="de-DE"/>
              </w:rPr>
              <w:t>o</w:t>
            </w:r>
            <w:r w:rsidRPr="00CF58EE">
              <w:rPr>
                <w:sz w:val="22"/>
                <w:lang w:val="de-DE"/>
              </w:rPr>
              <w:t>päischen Länder, inkl. Türkei)</w:t>
            </w:r>
          </w:p>
        </w:tc>
        <w:tc>
          <w:tcPr>
            <w:tcW w:w="2552" w:type="dxa"/>
          </w:tcPr>
          <w:p w14:paraId="05B47BD7" w14:textId="16AE4B56" w:rsidR="00D17394" w:rsidRPr="00CF58EE" w:rsidRDefault="00D17394" w:rsidP="00E60903">
            <w:pPr>
              <w:jc w:val="center"/>
              <w:rPr>
                <w:sz w:val="22"/>
                <w:lang w:val="de-DE"/>
              </w:rPr>
            </w:pPr>
            <w:r w:rsidRPr="00CF58EE">
              <w:rPr>
                <w:sz w:val="22"/>
                <w:lang w:val="de-DE"/>
              </w:rPr>
              <w:t>10</w:t>
            </w:r>
          </w:p>
        </w:tc>
        <w:tc>
          <w:tcPr>
            <w:tcW w:w="2517" w:type="dxa"/>
          </w:tcPr>
          <w:p w14:paraId="73A94078" w14:textId="378CD053" w:rsidR="00D17394" w:rsidRPr="00CF58EE" w:rsidRDefault="00D17394" w:rsidP="00E60903">
            <w:pPr>
              <w:jc w:val="center"/>
              <w:rPr>
                <w:sz w:val="22"/>
                <w:lang w:val="de-DE"/>
              </w:rPr>
            </w:pPr>
            <w:r w:rsidRPr="00CF58EE">
              <w:rPr>
                <w:sz w:val="22"/>
                <w:lang w:val="de-DE"/>
              </w:rPr>
              <w:t>8</w:t>
            </w:r>
          </w:p>
        </w:tc>
      </w:tr>
      <w:tr w:rsidR="00D17394" w:rsidRPr="00CF58EE" w14:paraId="3C5D7768" w14:textId="3F1B277E" w:rsidTr="00CF58EE">
        <w:tc>
          <w:tcPr>
            <w:tcW w:w="4219" w:type="dxa"/>
            <w:vAlign w:val="center"/>
          </w:tcPr>
          <w:p w14:paraId="2591E404" w14:textId="3020CED4" w:rsidR="00D17394" w:rsidRPr="00CF58EE" w:rsidRDefault="00D17394" w:rsidP="00E60903">
            <w:pPr>
              <w:jc w:val="left"/>
              <w:rPr>
                <w:sz w:val="22"/>
                <w:lang w:val="de-DE"/>
              </w:rPr>
            </w:pPr>
            <w:r w:rsidRPr="00CF58EE">
              <w:rPr>
                <w:sz w:val="22"/>
                <w:lang w:val="de-DE"/>
              </w:rPr>
              <w:t>USA</w:t>
            </w:r>
          </w:p>
        </w:tc>
        <w:tc>
          <w:tcPr>
            <w:tcW w:w="2552" w:type="dxa"/>
          </w:tcPr>
          <w:p w14:paraId="68E53635" w14:textId="75AB6A36" w:rsidR="00D17394" w:rsidRPr="00CF58EE" w:rsidRDefault="00D17394" w:rsidP="00E60903">
            <w:pPr>
              <w:jc w:val="center"/>
              <w:rPr>
                <w:sz w:val="22"/>
                <w:lang w:val="de-DE"/>
              </w:rPr>
            </w:pPr>
            <w:r w:rsidRPr="00CF58EE">
              <w:rPr>
                <w:sz w:val="22"/>
                <w:lang w:val="de-DE"/>
              </w:rPr>
              <w:t>5</w:t>
            </w:r>
          </w:p>
        </w:tc>
        <w:tc>
          <w:tcPr>
            <w:tcW w:w="2517" w:type="dxa"/>
          </w:tcPr>
          <w:p w14:paraId="0FC6D5D5" w14:textId="4C169998" w:rsidR="00D17394" w:rsidRPr="00CF58EE" w:rsidRDefault="00D17394" w:rsidP="00E60903">
            <w:pPr>
              <w:jc w:val="center"/>
              <w:rPr>
                <w:sz w:val="22"/>
                <w:lang w:val="de-DE"/>
              </w:rPr>
            </w:pPr>
            <w:r w:rsidRPr="00CF58EE">
              <w:rPr>
                <w:sz w:val="22"/>
                <w:lang w:val="de-DE"/>
              </w:rPr>
              <w:t>12</w:t>
            </w:r>
          </w:p>
        </w:tc>
      </w:tr>
      <w:tr w:rsidR="00D17394" w:rsidRPr="00CF58EE" w14:paraId="32D2DFCC" w14:textId="5A0603AD" w:rsidTr="00CF58EE">
        <w:tc>
          <w:tcPr>
            <w:tcW w:w="4219" w:type="dxa"/>
            <w:vAlign w:val="center"/>
          </w:tcPr>
          <w:p w14:paraId="68BA96B0" w14:textId="1A0F3F5A" w:rsidR="00D17394" w:rsidRPr="00CF58EE" w:rsidRDefault="00D17394" w:rsidP="00E60903">
            <w:pPr>
              <w:jc w:val="left"/>
              <w:rPr>
                <w:sz w:val="22"/>
                <w:lang w:val="de-DE"/>
              </w:rPr>
            </w:pPr>
            <w:r w:rsidRPr="00CF58EE">
              <w:rPr>
                <w:sz w:val="22"/>
                <w:lang w:val="de-DE"/>
              </w:rPr>
              <w:t>Kanada</w:t>
            </w:r>
          </w:p>
        </w:tc>
        <w:tc>
          <w:tcPr>
            <w:tcW w:w="2552" w:type="dxa"/>
          </w:tcPr>
          <w:p w14:paraId="5933C9D5" w14:textId="55FE1F15" w:rsidR="00D17394" w:rsidRPr="00CF58EE" w:rsidRDefault="00D17394" w:rsidP="00E60903">
            <w:pPr>
              <w:jc w:val="center"/>
              <w:rPr>
                <w:sz w:val="22"/>
                <w:lang w:val="de-DE"/>
              </w:rPr>
            </w:pPr>
            <w:r w:rsidRPr="00CF58EE">
              <w:rPr>
                <w:sz w:val="22"/>
                <w:lang w:val="de-DE"/>
              </w:rPr>
              <w:t>1</w:t>
            </w:r>
          </w:p>
        </w:tc>
        <w:tc>
          <w:tcPr>
            <w:tcW w:w="2517" w:type="dxa"/>
          </w:tcPr>
          <w:p w14:paraId="33C7DFA3" w14:textId="10FB5C19" w:rsidR="00D17394" w:rsidRPr="00CF58EE" w:rsidRDefault="00D17394" w:rsidP="00E60903">
            <w:pPr>
              <w:jc w:val="center"/>
              <w:rPr>
                <w:sz w:val="22"/>
                <w:lang w:val="de-DE"/>
              </w:rPr>
            </w:pPr>
            <w:r w:rsidRPr="00CF58EE">
              <w:rPr>
                <w:sz w:val="22"/>
                <w:lang w:val="de-DE"/>
              </w:rPr>
              <w:t>4</w:t>
            </w:r>
          </w:p>
        </w:tc>
      </w:tr>
      <w:tr w:rsidR="00D17394" w:rsidRPr="00CF58EE" w14:paraId="04492918" w14:textId="15DB3740" w:rsidTr="00CF58EE">
        <w:tc>
          <w:tcPr>
            <w:tcW w:w="4219" w:type="dxa"/>
            <w:vAlign w:val="center"/>
          </w:tcPr>
          <w:p w14:paraId="5EE072C5" w14:textId="6CC7CBB2" w:rsidR="00D17394" w:rsidRPr="00CF58EE" w:rsidRDefault="00D17394" w:rsidP="00E60903">
            <w:pPr>
              <w:jc w:val="left"/>
              <w:rPr>
                <w:sz w:val="22"/>
                <w:lang w:val="de-DE"/>
              </w:rPr>
            </w:pPr>
            <w:r w:rsidRPr="00CF58EE">
              <w:rPr>
                <w:sz w:val="22"/>
                <w:lang w:val="de-DE"/>
              </w:rPr>
              <w:t>Australien, Neuseeland</w:t>
            </w:r>
          </w:p>
        </w:tc>
        <w:tc>
          <w:tcPr>
            <w:tcW w:w="2552" w:type="dxa"/>
          </w:tcPr>
          <w:p w14:paraId="639FCB5A" w14:textId="47DE6D4A" w:rsidR="00D17394" w:rsidRPr="00CF58EE" w:rsidRDefault="00D17394" w:rsidP="00E60903">
            <w:pPr>
              <w:jc w:val="center"/>
              <w:rPr>
                <w:sz w:val="22"/>
                <w:lang w:val="de-DE"/>
              </w:rPr>
            </w:pPr>
            <w:r w:rsidRPr="00CF58EE">
              <w:rPr>
                <w:sz w:val="22"/>
                <w:lang w:val="de-DE"/>
              </w:rPr>
              <w:t>4</w:t>
            </w:r>
          </w:p>
        </w:tc>
        <w:tc>
          <w:tcPr>
            <w:tcW w:w="2517" w:type="dxa"/>
          </w:tcPr>
          <w:p w14:paraId="15E34D39" w14:textId="3B1392DD" w:rsidR="00D17394" w:rsidRPr="00CF58EE" w:rsidRDefault="00D17394" w:rsidP="00E60903">
            <w:pPr>
              <w:jc w:val="center"/>
              <w:rPr>
                <w:sz w:val="22"/>
                <w:lang w:val="de-DE"/>
              </w:rPr>
            </w:pPr>
            <w:r w:rsidRPr="00CF58EE">
              <w:rPr>
                <w:sz w:val="22"/>
                <w:lang w:val="de-DE"/>
              </w:rPr>
              <w:t>6</w:t>
            </w:r>
          </w:p>
        </w:tc>
      </w:tr>
      <w:tr w:rsidR="00D17394" w:rsidRPr="00CF58EE" w14:paraId="0D267434" w14:textId="4C16354F" w:rsidTr="00CF58EE">
        <w:tc>
          <w:tcPr>
            <w:tcW w:w="4219" w:type="dxa"/>
            <w:vAlign w:val="center"/>
          </w:tcPr>
          <w:p w14:paraId="05BA38B1" w14:textId="78F60019" w:rsidR="00D17394" w:rsidRPr="00CF58EE" w:rsidRDefault="00D17394" w:rsidP="00E60903">
            <w:pPr>
              <w:jc w:val="left"/>
              <w:rPr>
                <w:sz w:val="22"/>
                <w:lang w:val="de-DE"/>
              </w:rPr>
            </w:pPr>
            <w:r w:rsidRPr="00CF58EE">
              <w:rPr>
                <w:sz w:val="22"/>
                <w:lang w:val="de-DE"/>
              </w:rPr>
              <w:t>Alle anderen Länder</w:t>
            </w:r>
          </w:p>
        </w:tc>
        <w:tc>
          <w:tcPr>
            <w:tcW w:w="2552" w:type="dxa"/>
          </w:tcPr>
          <w:p w14:paraId="541D8FE7" w14:textId="106EBACB" w:rsidR="00D17394" w:rsidRPr="00CF58EE" w:rsidRDefault="00D17394" w:rsidP="00E60903">
            <w:pPr>
              <w:jc w:val="center"/>
              <w:rPr>
                <w:sz w:val="22"/>
                <w:lang w:val="de-DE"/>
              </w:rPr>
            </w:pPr>
            <w:r w:rsidRPr="00CF58EE">
              <w:rPr>
                <w:sz w:val="22"/>
                <w:lang w:val="de-DE"/>
              </w:rPr>
              <w:t>10</w:t>
            </w:r>
          </w:p>
        </w:tc>
        <w:tc>
          <w:tcPr>
            <w:tcW w:w="2517" w:type="dxa"/>
          </w:tcPr>
          <w:p w14:paraId="0B07FAFC" w14:textId="0300AD08" w:rsidR="00D17394" w:rsidRPr="00CF58EE" w:rsidRDefault="00D17394" w:rsidP="00E60903">
            <w:pPr>
              <w:jc w:val="center"/>
              <w:rPr>
                <w:sz w:val="22"/>
                <w:lang w:val="de-DE"/>
              </w:rPr>
            </w:pPr>
            <w:r w:rsidRPr="00CF58EE">
              <w:rPr>
                <w:sz w:val="22"/>
                <w:lang w:val="de-DE"/>
              </w:rPr>
              <w:t>9</w:t>
            </w:r>
          </w:p>
        </w:tc>
      </w:tr>
      <w:tr w:rsidR="00D17394" w:rsidRPr="00CF58EE" w14:paraId="50CA5AF0" w14:textId="4C343C82" w:rsidTr="00CF58EE">
        <w:tc>
          <w:tcPr>
            <w:tcW w:w="4219" w:type="dxa"/>
            <w:vAlign w:val="center"/>
          </w:tcPr>
          <w:p w14:paraId="62FDB5C9" w14:textId="6DD579EF" w:rsidR="00E60903" w:rsidRPr="00CF58EE" w:rsidRDefault="00E60903" w:rsidP="00E60903">
            <w:pPr>
              <w:jc w:val="left"/>
              <w:rPr>
                <w:sz w:val="22"/>
                <w:lang w:val="de-DE"/>
              </w:rPr>
            </w:pPr>
            <w:r w:rsidRPr="00CF58EE">
              <w:rPr>
                <w:sz w:val="22"/>
                <w:lang w:val="de-DE"/>
              </w:rPr>
              <w:t>Gesamt</w:t>
            </w:r>
          </w:p>
          <w:p w14:paraId="174495DB" w14:textId="1E66BE53" w:rsidR="00D17394" w:rsidRPr="00CF58EE" w:rsidRDefault="00D17394" w:rsidP="00E60903">
            <w:pPr>
              <w:jc w:val="left"/>
              <w:rPr>
                <w:sz w:val="22"/>
                <w:lang w:val="de-DE"/>
              </w:rPr>
            </w:pPr>
            <w:r w:rsidRPr="00CF58EE">
              <w:rPr>
                <w:sz w:val="22"/>
                <w:lang w:val="de-DE"/>
              </w:rPr>
              <w:t>(Anzahl)</w:t>
            </w:r>
          </w:p>
        </w:tc>
        <w:tc>
          <w:tcPr>
            <w:tcW w:w="2552" w:type="dxa"/>
          </w:tcPr>
          <w:p w14:paraId="66A0352A" w14:textId="77777777" w:rsidR="00D17394" w:rsidRPr="00CF58EE" w:rsidRDefault="00D17394" w:rsidP="00E60903">
            <w:pPr>
              <w:jc w:val="center"/>
              <w:rPr>
                <w:sz w:val="22"/>
                <w:lang w:val="de-DE"/>
              </w:rPr>
            </w:pPr>
            <w:r w:rsidRPr="00CF58EE">
              <w:rPr>
                <w:sz w:val="22"/>
                <w:lang w:val="de-DE"/>
              </w:rPr>
              <w:t>100</w:t>
            </w:r>
          </w:p>
          <w:p w14:paraId="3D35B76B" w14:textId="724CE905" w:rsidR="00D17394" w:rsidRPr="00CF58EE" w:rsidRDefault="00D17394" w:rsidP="00E60903">
            <w:pPr>
              <w:jc w:val="center"/>
              <w:rPr>
                <w:sz w:val="22"/>
                <w:lang w:val="de-DE"/>
              </w:rPr>
            </w:pPr>
            <w:r w:rsidRPr="00CF58EE">
              <w:rPr>
                <w:sz w:val="22"/>
                <w:lang w:val="de-DE"/>
              </w:rPr>
              <w:t>(5</w:t>
            </w:r>
            <w:r w:rsidR="0026795B">
              <w:rPr>
                <w:sz w:val="22"/>
                <w:lang w:val="de-DE"/>
              </w:rPr>
              <w:t>79.700</w:t>
            </w:r>
            <w:r w:rsidRPr="00CF58EE">
              <w:rPr>
                <w:sz w:val="22"/>
                <w:lang w:val="de-DE"/>
              </w:rPr>
              <w:t>)</w:t>
            </w:r>
          </w:p>
        </w:tc>
        <w:tc>
          <w:tcPr>
            <w:tcW w:w="2517" w:type="dxa"/>
          </w:tcPr>
          <w:p w14:paraId="266C3699" w14:textId="77777777" w:rsidR="00D17394" w:rsidRPr="00CF58EE" w:rsidRDefault="00D17394" w:rsidP="00E60903">
            <w:pPr>
              <w:jc w:val="center"/>
              <w:rPr>
                <w:sz w:val="22"/>
                <w:lang w:val="de-DE"/>
              </w:rPr>
            </w:pPr>
            <w:r w:rsidRPr="00CF58EE">
              <w:rPr>
                <w:sz w:val="22"/>
                <w:lang w:val="de-DE"/>
              </w:rPr>
              <w:t>100</w:t>
            </w:r>
          </w:p>
          <w:p w14:paraId="0B023274" w14:textId="0E2EB41A" w:rsidR="00D17394" w:rsidRPr="00CF58EE" w:rsidRDefault="00D17394" w:rsidP="00E60903">
            <w:pPr>
              <w:jc w:val="center"/>
              <w:rPr>
                <w:sz w:val="22"/>
                <w:lang w:val="de-DE"/>
              </w:rPr>
            </w:pPr>
            <w:r w:rsidRPr="00CF58EE">
              <w:rPr>
                <w:sz w:val="22"/>
                <w:lang w:val="de-DE"/>
              </w:rPr>
              <w:t>(2</w:t>
            </w:r>
            <w:r w:rsidR="00774A21" w:rsidRPr="00CF58EE">
              <w:rPr>
                <w:sz w:val="22"/>
                <w:lang w:val="de-DE"/>
              </w:rPr>
              <w:t>.</w:t>
            </w:r>
            <w:r w:rsidRPr="00CF58EE">
              <w:rPr>
                <w:sz w:val="22"/>
                <w:lang w:val="de-DE"/>
              </w:rPr>
              <w:t>390)</w:t>
            </w:r>
          </w:p>
        </w:tc>
      </w:tr>
    </w:tbl>
    <w:p w14:paraId="457F63F8" w14:textId="0FF82E3F" w:rsidR="0026795B" w:rsidRPr="00CC5466" w:rsidRDefault="00CC5466" w:rsidP="0031278D">
      <w:pPr>
        <w:rPr>
          <w:lang w:val="fr-FR"/>
        </w:rPr>
      </w:pPr>
      <w:r w:rsidRPr="00CC5466">
        <w:rPr>
          <w:sz w:val="22"/>
          <w:szCs w:val="22"/>
          <w:lang w:val="fr-FR"/>
        </w:rPr>
        <w:t>*</w:t>
      </w:r>
      <w:r w:rsidR="001257B4" w:rsidRPr="00CC5466">
        <w:rPr>
          <w:sz w:val="22"/>
          <w:szCs w:val="22"/>
          <w:lang w:val="fr-FR"/>
        </w:rPr>
        <w:t>Quelle:</w:t>
      </w:r>
      <w:r w:rsidRPr="00CC5466">
        <w:rPr>
          <w:sz w:val="22"/>
          <w:szCs w:val="22"/>
          <w:lang w:val="fr-FR"/>
        </w:rPr>
        <w:t xml:space="preserve"> </w:t>
      </w:r>
      <w:hyperlink r:id="rId9" w:history="1">
        <w:r w:rsidR="0026795B" w:rsidRPr="00CC5466">
          <w:rPr>
            <w:rStyle w:val="Hyperlink"/>
            <w:sz w:val="22"/>
            <w:szCs w:val="22"/>
            <w:lang w:val="fr-FR"/>
          </w:rPr>
          <w:t>http://www.statistik.at/web_de/statistiken/menschen_und_gesellschaft/bevoelkerung/internationale_uebersich/036450.html</w:t>
        </w:r>
      </w:hyperlink>
      <w:r w:rsidR="0026795B" w:rsidRPr="00CC5466">
        <w:rPr>
          <w:sz w:val="22"/>
          <w:szCs w:val="22"/>
          <w:lang w:val="fr-FR"/>
        </w:rPr>
        <w:t xml:space="preserve"> (14.10.2019)</w:t>
      </w:r>
    </w:p>
    <w:p w14:paraId="3053C233" w14:textId="77777777" w:rsidR="00D17394" w:rsidRPr="00CC5466" w:rsidRDefault="00D17394" w:rsidP="00423F3B">
      <w:pPr>
        <w:jc w:val="left"/>
        <w:rPr>
          <w:lang w:val="fr-FR"/>
        </w:rPr>
      </w:pPr>
    </w:p>
    <w:p w14:paraId="342AA1E6" w14:textId="77777777" w:rsidR="006A7D81" w:rsidRPr="006A7D81" w:rsidRDefault="006A7D81" w:rsidP="00423F3B">
      <w:pPr>
        <w:jc w:val="left"/>
        <w:rPr>
          <w:lang w:val="fr-FR"/>
        </w:rPr>
      </w:pPr>
    </w:p>
    <w:p w14:paraId="6291BEF5" w14:textId="77777777" w:rsidR="006A7D81" w:rsidRDefault="006A7D81" w:rsidP="00423F3B">
      <w:pPr>
        <w:jc w:val="left"/>
        <w:rPr>
          <w:lang w:val="fr-FR"/>
        </w:rPr>
      </w:pPr>
    </w:p>
    <w:p w14:paraId="0C57A502" w14:textId="77777777" w:rsidR="006A7D81" w:rsidRDefault="006A7D81" w:rsidP="00423F3B">
      <w:pPr>
        <w:jc w:val="left"/>
        <w:rPr>
          <w:lang w:val="fr-FR"/>
        </w:rPr>
      </w:pPr>
    </w:p>
    <w:p w14:paraId="6AB897F7" w14:textId="00645CEA" w:rsidR="009A7DD8" w:rsidRDefault="0053695D" w:rsidP="00423F3B">
      <w:pPr>
        <w:jc w:val="left"/>
        <w:rPr>
          <w:lang w:val="de-DE"/>
        </w:rPr>
      </w:pPr>
      <w:r>
        <w:rPr>
          <w:lang w:val="de-DE"/>
        </w:rPr>
        <w:lastRenderedPageBreak/>
        <w:t>Hinsichtlich der</w:t>
      </w:r>
      <w:r w:rsidR="009A7DD8">
        <w:rPr>
          <w:lang w:val="de-DE"/>
        </w:rPr>
        <w:t xml:space="preserve"> höchsten abgeschlossenen</w:t>
      </w:r>
      <w:r>
        <w:rPr>
          <w:lang w:val="de-DE"/>
        </w:rPr>
        <w:t xml:space="preserve"> Bildung besitzen </w:t>
      </w:r>
      <w:r w:rsidR="00CC5466">
        <w:rPr>
          <w:lang w:val="de-DE"/>
        </w:rPr>
        <w:t>5</w:t>
      </w:r>
      <w:r w:rsidR="009E7394">
        <w:rPr>
          <w:lang w:val="de-DE"/>
        </w:rPr>
        <w:t>9% der Befragten e</w:t>
      </w:r>
      <w:r w:rsidR="009E7394">
        <w:rPr>
          <w:lang w:val="de-DE"/>
        </w:rPr>
        <w:t>i</w:t>
      </w:r>
      <w:r w:rsidR="009E7394">
        <w:rPr>
          <w:lang w:val="de-DE"/>
        </w:rPr>
        <w:t>nen Hochschulab</w:t>
      </w:r>
      <w:r w:rsidR="009A7DD8">
        <w:rPr>
          <w:lang w:val="de-DE"/>
        </w:rPr>
        <w:t xml:space="preserve">schluss, </w:t>
      </w:r>
      <w:r>
        <w:rPr>
          <w:lang w:val="de-DE"/>
        </w:rPr>
        <w:t>28% Matura beziehungsweise eine Fachausbildung</w:t>
      </w:r>
      <w:r w:rsidR="009A7DD8">
        <w:rPr>
          <w:lang w:val="de-DE"/>
        </w:rPr>
        <w:t xml:space="preserve">; </w:t>
      </w:r>
      <w:r w:rsidR="005E53D3">
        <w:rPr>
          <w:lang w:val="de-DE"/>
        </w:rPr>
        <w:t>en</w:t>
      </w:r>
      <w:r w:rsidR="005E53D3">
        <w:rPr>
          <w:lang w:val="de-DE"/>
        </w:rPr>
        <w:t>t</w:t>
      </w:r>
      <w:r w:rsidR="005E53D3">
        <w:rPr>
          <w:lang w:val="de-DE"/>
        </w:rPr>
        <w:t>fällt auf Personen mit Grundschulabschluss oder Berufsausbildung</w:t>
      </w:r>
      <w:r>
        <w:rPr>
          <w:lang w:val="de-DE"/>
        </w:rPr>
        <w:t xml:space="preserve">. </w:t>
      </w:r>
      <w:r w:rsidR="009A7DD8">
        <w:rPr>
          <w:lang w:val="de-DE"/>
        </w:rPr>
        <w:t xml:space="preserve">Daten über das Bildungsniveau aller </w:t>
      </w:r>
      <w:proofErr w:type="spellStart"/>
      <w:r w:rsidR="009A7DD8">
        <w:rPr>
          <w:lang w:val="de-DE"/>
        </w:rPr>
        <w:t>AuslandösterreicherInnen</w:t>
      </w:r>
      <w:proofErr w:type="spellEnd"/>
      <w:r w:rsidR="009A7DD8">
        <w:rPr>
          <w:lang w:val="de-DE"/>
        </w:rPr>
        <w:t xml:space="preserve"> liegen nicht vor; es ist jedoch anz</w:t>
      </w:r>
      <w:r w:rsidR="009A7DD8">
        <w:rPr>
          <w:lang w:val="de-DE"/>
        </w:rPr>
        <w:t>u</w:t>
      </w:r>
      <w:r w:rsidR="009A7DD8">
        <w:rPr>
          <w:lang w:val="de-DE"/>
        </w:rPr>
        <w:t>nehmen, dass in der Studie Personen mit Hochschulbildung deutlich überrepräse</w:t>
      </w:r>
      <w:r w:rsidR="009A7DD8">
        <w:rPr>
          <w:lang w:val="de-DE"/>
        </w:rPr>
        <w:t>n</w:t>
      </w:r>
      <w:r w:rsidR="009A7DD8">
        <w:rPr>
          <w:lang w:val="de-DE"/>
        </w:rPr>
        <w:t>tiert sind.</w:t>
      </w:r>
    </w:p>
    <w:p w14:paraId="7656139C" w14:textId="37B38209" w:rsidR="00AE0B9F" w:rsidRDefault="0053695D" w:rsidP="00423F3B">
      <w:pPr>
        <w:jc w:val="left"/>
        <w:rPr>
          <w:lang w:val="de-DE"/>
        </w:rPr>
      </w:pPr>
      <w:r>
        <w:rPr>
          <w:lang w:val="de-DE"/>
        </w:rPr>
        <w:t>D</w:t>
      </w:r>
      <w:r w:rsidR="009E7394">
        <w:rPr>
          <w:lang w:val="de-DE"/>
        </w:rPr>
        <w:t>as Geschlechterverhältn</w:t>
      </w:r>
      <w:r w:rsidR="00570EF7">
        <w:rPr>
          <w:lang w:val="de-DE"/>
        </w:rPr>
        <w:t>is ist mit 51% Frauen und 49</w:t>
      </w:r>
      <w:r w:rsidR="009E7394">
        <w:rPr>
          <w:lang w:val="de-DE"/>
        </w:rPr>
        <w:t xml:space="preserve">% Männern ausgewogen. </w:t>
      </w:r>
      <w:r>
        <w:rPr>
          <w:lang w:val="de-DE"/>
        </w:rPr>
        <w:t>D</w:t>
      </w:r>
      <w:r w:rsidR="00570EF7">
        <w:rPr>
          <w:lang w:val="de-DE"/>
        </w:rPr>
        <w:t>ie meisten Personen (88</w:t>
      </w:r>
      <w:r w:rsidR="007A59F0">
        <w:rPr>
          <w:lang w:val="de-DE"/>
        </w:rPr>
        <w:t>%)</w:t>
      </w:r>
      <w:r>
        <w:rPr>
          <w:lang w:val="de-DE"/>
        </w:rPr>
        <w:t xml:space="preserve"> sind</w:t>
      </w:r>
      <w:r w:rsidR="007A59F0">
        <w:rPr>
          <w:lang w:val="de-DE"/>
        </w:rPr>
        <w:t xml:space="preserve"> über 35 Jahre alt, am stärksten vertreten sind </w:t>
      </w:r>
      <w:r w:rsidR="00570EF7">
        <w:rPr>
          <w:lang w:val="de-DE"/>
        </w:rPr>
        <w:t>die 45- bis 54-Jährigen mit 24</w:t>
      </w:r>
      <w:r w:rsidR="007A59F0">
        <w:rPr>
          <w:lang w:val="de-DE"/>
        </w:rPr>
        <w:t xml:space="preserve">%. </w:t>
      </w:r>
      <w:r w:rsidR="00570EF7">
        <w:rPr>
          <w:lang w:val="de-DE"/>
        </w:rPr>
        <w:t>Zwei Drittel (69</w:t>
      </w:r>
      <w:r w:rsidR="003F0ABF">
        <w:rPr>
          <w:lang w:val="de-DE"/>
        </w:rPr>
        <w:t xml:space="preserve">%) </w:t>
      </w:r>
      <w:r w:rsidR="00041E4A">
        <w:rPr>
          <w:lang w:val="de-DE"/>
        </w:rPr>
        <w:t>aller</w:t>
      </w:r>
      <w:r w:rsidR="003F0ABF">
        <w:rPr>
          <w:lang w:val="de-DE"/>
        </w:rPr>
        <w:t xml:space="preserve"> Befragten leben momentan in Eur</w:t>
      </w:r>
      <w:r w:rsidR="003F0ABF">
        <w:rPr>
          <w:lang w:val="de-DE"/>
        </w:rPr>
        <w:t>o</w:t>
      </w:r>
      <w:r w:rsidR="003F0ABF">
        <w:rPr>
          <w:lang w:val="de-DE"/>
        </w:rPr>
        <w:t>pa, von diesen leb</w:t>
      </w:r>
      <w:r w:rsidR="00041E4A">
        <w:rPr>
          <w:lang w:val="de-DE"/>
        </w:rPr>
        <w:t>en</w:t>
      </w:r>
      <w:r w:rsidR="003F0ABF">
        <w:rPr>
          <w:lang w:val="de-DE"/>
        </w:rPr>
        <w:t xml:space="preserve"> wiederum </w:t>
      </w:r>
      <w:r w:rsidR="00041E4A">
        <w:rPr>
          <w:lang w:val="de-DE"/>
        </w:rPr>
        <w:t xml:space="preserve">die meisten </w:t>
      </w:r>
      <w:r w:rsidR="00570EF7">
        <w:rPr>
          <w:lang w:val="de-DE"/>
        </w:rPr>
        <w:t>(33</w:t>
      </w:r>
      <w:r w:rsidR="003F0ABF">
        <w:rPr>
          <w:lang w:val="de-DE"/>
        </w:rPr>
        <w:t>%) in Deutschland</w:t>
      </w:r>
      <w:r w:rsidR="00041E4A">
        <w:rPr>
          <w:lang w:val="de-DE"/>
        </w:rPr>
        <w:t xml:space="preserve"> und</w:t>
      </w:r>
      <w:r w:rsidR="003F0ABF">
        <w:rPr>
          <w:lang w:val="de-DE"/>
        </w:rPr>
        <w:t xml:space="preserve"> </w:t>
      </w:r>
      <w:r w:rsidR="00873A17">
        <w:rPr>
          <w:lang w:val="de-DE"/>
        </w:rPr>
        <w:t>in Großbrita</w:t>
      </w:r>
      <w:r w:rsidR="00873A17">
        <w:rPr>
          <w:lang w:val="de-DE"/>
        </w:rPr>
        <w:t>n</w:t>
      </w:r>
      <w:r w:rsidR="00873A17">
        <w:rPr>
          <w:lang w:val="de-DE"/>
        </w:rPr>
        <w:t>nien</w:t>
      </w:r>
      <w:r w:rsidR="00041E4A">
        <w:rPr>
          <w:lang w:val="de-DE"/>
        </w:rPr>
        <w:t xml:space="preserve"> (21%). </w:t>
      </w:r>
      <w:r w:rsidR="003F0ABF">
        <w:rPr>
          <w:lang w:val="de-DE"/>
        </w:rPr>
        <w:t>Die nächstgr</w:t>
      </w:r>
      <w:r w:rsidR="004A6393">
        <w:rPr>
          <w:lang w:val="de-DE"/>
        </w:rPr>
        <w:t>ößere</w:t>
      </w:r>
      <w:r w:rsidR="003F0ABF">
        <w:rPr>
          <w:lang w:val="de-DE"/>
        </w:rPr>
        <w:t xml:space="preserve"> Personengruppe findet sich mit 17% </w:t>
      </w:r>
      <w:r w:rsidR="00041E4A">
        <w:rPr>
          <w:lang w:val="de-DE"/>
        </w:rPr>
        <w:t xml:space="preserve">der Befragten </w:t>
      </w:r>
      <w:r w:rsidR="003F0ABF">
        <w:rPr>
          <w:lang w:val="de-DE"/>
        </w:rPr>
        <w:t>in Nordameri</w:t>
      </w:r>
      <w:r w:rsidR="00DA60A4">
        <w:rPr>
          <w:lang w:val="de-DE"/>
        </w:rPr>
        <w:t>ka, die restlichen Personen leben verteilt auf den übrigen Kontinenten.</w:t>
      </w:r>
    </w:p>
    <w:p w14:paraId="0DCF85F1" w14:textId="77777777" w:rsidR="004767FA" w:rsidRPr="00AE0B9F" w:rsidRDefault="004767FA" w:rsidP="00423F3B">
      <w:pPr>
        <w:jc w:val="left"/>
        <w:rPr>
          <w:lang w:val="de-DE"/>
        </w:rPr>
      </w:pPr>
    </w:p>
    <w:p w14:paraId="677A2088" w14:textId="77777777" w:rsidR="006A7D81" w:rsidRDefault="006A7D81">
      <w:pPr>
        <w:spacing w:line="240" w:lineRule="auto"/>
        <w:jc w:val="left"/>
        <w:rPr>
          <w:rFonts w:cs="Arial"/>
          <w:b/>
          <w:bCs/>
          <w:kern w:val="32"/>
          <w:szCs w:val="32"/>
          <w:lang w:val="de-DE"/>
        </w:rPr>
      </w:pPr>
      <w:r>
        <w:rPr>
          <w:lang w:val="de-DE"/>
        </w:rPr>
        <w:br w:type="page"/>
      </w:r>
    </w:p>
    <w:p w14:paraId="51D7A63D" w14:textId="6F88A04A" w:rsidR="002F5B3E" w:rsidRDefault="002F5B3E" w:rsidP="00423F3B">
      <w:pPr>
        <w:pStyle w:val="berschrift1"/>
        <w:jc w:val="left"/>
        <w:rPr>
          <w:lang w:val="de-DE"/>
        </w:rPr>
      </w:pPr>
      <w:r>
        <w:rPr>
          <w:lang w:val="de-DE"/>
        </w:rPr>
        <w:lastRenderedPageBreak/>
        <w:t>Ergebnisse</w:t>
      </w:r>
    </w:p>
    <w:p w14:paraId="3C58B39D" w14:textId="0BDB9E7D" w:rsidR="00DB1841" w:rsidRDefault="00DB1841" w:rsidP="00423F3B">
      <w:pPr>
        <w:jc w:val="left"/>
        <w:rPr>
          <w:lang w:val="de-DE"/>
        </w:rPr>
      </w:pPr>
      <w:r>
        <w:rPr>
          <w:lang w:val="de-DE"/>
        </w:rPr>
        <w:t>In diesem Abschnitt werden diverse Einstellungen der Befragten zur Staatsbürge</w:t>
      </w:r>
      <w:r>
        <w:rPr>
          <w:lang w:val="de-DE"/>
        </w:rPr>
        <w:t>r</w:t>
      </w:r>
      <w:r>
        <w:rPr>
          <w:lang w:val="de-DE"/>
        </w:rPr>
        <w:t>schaft auf Unterschiede hinsichtlich Geschlecht, Alter, Bildungsabschluss, Herkunft (Bundesland), Aufenthaltsland beziehungsweise -region, Dauer des Auslandsaufen</w:t>
      </w:r>
      <w:r>
        <w:rPr>
          <w:lang w:val="de-DE"/>
        </w:rPr>
        <w:t>t</w:t>
      </w:r>
      <w:r>
        <w:rPr>
          <w:lang w:val="de-DE"/>
        </w:rPr>
        <w:t>halts und Anzahl der in Österreich verbrachten Jahre überprüft.</w:t>
      </w:r>
    </w:p>
    <w:p w14:paraId="445EC479" w14:textId="77777777" w:rsidR="00653960" w:rsidRDefault="00653960" w:rsidP="00423F3B">
      <w:pPr>
        <w:jc w:val="left"/>
        <w:rPr>
          <w:lang w:val="de-DE"/>
        </w:rPr>
      </w:pPr>
    </w:p>
    <w:p w14:paraId="3FE7191A" w14:textId="02A4381E" w:rsidR="00E35B4B" w:rsidRPr="00DB1841" w:rsidRDefault="00073A35" w:rsidP="00423F3B">
      <w:pPr>
        <w:pStyle w:val="berschrift2"/>
        <w:jc w:val="left"/>
        <w:rPr>
          <w:lang w:val="de-DE"/>
        </w:rPr>
      </w:pPr>
      <w:r>
        <w:rPr>
          <w:lang w:val="de-DE"/>
        </w:rPr>
        <w:t>Wichtigkeit des Themas Staatsbürgerschaft für das eigene Leben</w:t>
      </w:r>
      <w:r w:rsidR="00653960">
        <w:rPr>
          <w:lang w:val="de-DE"/>
        </w:rPr>
        <w:t xml:space="preserve"> </w:t>
      </w:r>
      <w:r w:rsidR="00653960" w:rsidRPr="00653960">
        <w:rPr>
          <w:highlight w:val="cyan"/>
          <w:lang w:val="de-DE"/>
        </w:rPr>
        <w:t>(Q4)</w:t>
      </w:r>
    </w:p>
    <w:p w14:paraId="60371355" w14:textId="33CD069E" w:rsidR="0026795B" w:rsidRDefault="00570EF7" w:rsidP="00423F3B">
      <w:pPr>
        <w:jc w:val="left"/>
        <w:rPr>
          <w:lang w:val="de-DE"/>
        </w:rPr>
      </w:pPr>
      <w:r>
        <w:rPr>
          <w:lang w:val="de-DE"/>
        </w:rPr>
        <w:t>Für den absoluten Großteil (90</w:t>
      </w:r>
      <w:r w:rsidR="00086A0C">
        <w:rPr>
          <w:lang w:val="de-DE"/>
        </w:rPr>
        <w:t>%) der Befragten ist das Thema Staatsbürgerschaft sehr wichtig (58%) beziehungsweise eher wichtig (3</w:t>
      </w:r>
      <w:r w:rsidR="0026795B">
        <w:rPr>
          <w:lang w:val="de-DE"/>
        </w:rPr>
        <w:t>2</w:t>
      </w:r>
      <w:r w:rsidR="00086A0C">
        <w:rPr>
          <w:lang w:val="de-DE"/>
        </w:rPr>
        <w:t>%</w:t>
      </w:r>
      <w:r w:rsidR="0026795B">
        <w:rPr>
          <w:lang w:val="de-DE"/>
        </w:rPr>
        <w:t xml:space="preserve">) (vgl. </w:t>
      </w:r>
      <w:r w:rsidR="0026795B" w:rsidRPr="006A5BA4">
        <w:rPr>
          <w:u w:val="single"/>
          <w:lang w:val="de-DE"/>
        </w:rPr>
        <w:t xml:space="preserve">Tabelle </w:t>
      </w:r>
      <w:r w:rsidR="0031278D">
        <w:rPr>
          <w:u w:val="single"/>
          <w:lang w:val="de-DE"/>
        </w:rPr>
        <w:t>2</w:t>
      </w:r>
      <w:r w:rsidR="0026795B">
        <w:rPr>
          <w:lang w:val="de-DE"/>
        </w:rPr>
        <w:t xml:space="preserve"> </w:t>
      </w:r>
      <w:r w:rsidR="0026795B" w:rsidRPr="00CC5466">
        <w:rPr>
          <w:lang w:val="de-DE"/>
        </w:rPr>
        <w:t>und</w:t>
      </w:r>
      <w:r w:rsidR="0026795B" w:rsidRPr="006A5BA4">
        <w:rPr>
          <w:u w:val="single"/>
          <w:lang w:val="de-DE"/>
        </w:rPr>
        <w:t xml:space="preserve"> Abbi</w:t>
      </w:r>
      <w:r w:rsidR="0026795B" w:rsidRPr="006A5BA4">
        <w:rPr>
          <w:u w:val="single"/>
          <w:lang w:val="de-DE"/>
        </w:rPr>
        <w:t>l</w:t>
      </w:r>
      <w:r w:rsidR="0026795B" w:rsidRPr="006A5BA4">
        <w:rPr>
          <w:u w:val="single"/>
          <w:lang w:val="de-DE"/>
        </w:rPr>
        <w:t>dung 1</w:t>
      </w:r>
      <w:r w:rsidR="0026795B">
        <w:rPr>
          <w:lang w:val="de-DE"/>
        </w:rPr>
        <w:t>)</w:t>
      </w:r>
      <w:r w:rsidR="00086A0C">
        <w:rPr>
          <w:lang w:val="de-DE"/>
        </w:rPr>
        <w:t>.</w:t>
      </w:r>
      <w:r w:rsidR="00975C10">
        <w:rPr>
          <w:lang w:val="de-DE"/>
        </w:rPr>
        <w:t xml:space="preserve"> </w:t>
      </w:r>
      <w:r w:rsidR="00E35B4B">
        <w:rPr>
          <w:lang w:val="de-DE"/>
        </w:rPr>
        <w:t>Hier zeigen sich hochs</w:t>
      </w:r>
      <w:r w:rsidR="00975C10">
        <w:rPr>
          <w:lang w:val="de-DE"/>
        </w:rPr>
        <w:t>ignifikante</w:t>
      </w:r>
      <w:r w:rsidR="00975C10">
        <w:rPr>
          <w:rStyle w:val="Funotenzeichen"/>
          <w:lang w:val="de-DE"/>
        </w:rPr>
        <w:footnoteReference w:id="3"/>
      </w:r>
      <w:r w:rsidR="00975C10">
        <w:rPr>
          <w:lang w:val="de-DE"/>
        </w:rPr>
        <w:t xml:space="preserve"> Unterschiede </w:t>
      </w:r>
      <w:r w:rsidR="005D64BA">
        <w:rPr>
          <w:lang w:val="de-DE"/>
        </w:rPr>
        <w:t xml:space="preserve">in Bezug auf </w:t>
      </w:r>
      <w:r w:rsidR="00E35B4B">
        <w:rPr>
          <w:lang w:val="de-DE"/>
        </w:rPr>
        <w:t xml:space="preserve">das Alter der Befragten, den </w:t>
      </w:r>
      <w:r w:rsidR="00A740A1">
        <w:rPr>
          <w:lang w:val="de-DE"/>
        </w:rPr>
        <w:t>Über-35-Jährigen</w:t>
      </w:r>
      <w:r w:rsidR="00E35B4B">
        <w:rPr>
          <w:lang w:val="de-DE"/>
        </w:rPr>
        <w:t xml:space="preserve"> ist das Thema Staats</w:t>
      </w:r>
      <w:r w:rsidR="00A740A1">
        <w:rPr>
          <w:lang w:val="de-DE"/>
        </w:rPr>
        <w:t>bürgerschaft wichtiger als den J</w:t>
      </w:r>
      <w:r w:rsidR="00E35B4B">
        <w:rPr>
          <w:lang w:val="de-DE"/>
        </w:rPr>
        <w:t>üngeren. Dementsprechend zeigen sich auch signifikante Unterschiede bezüglich der Dauer des Auslandsaufenthalts: Personen, die über 10 Jahre im Ausland leben, ist das Thema Staatsbürgerschaft wichtiger als Personen mit kürzerem Aufenthalt</w:t>
      </w:r>
      <w:r w:rsidR="00E60903">
        <w:rPr>
          <w:lang w:val="de-DE"/>
        </w:rPr>
        <w:t xml:space="preserve">, wie auch in </w:t>
      </w:r>
      <w:r w:rsidR="00E60903" w:rsidRPr="00E60903">
        <w:rPr>
          <w:u w:val="single"/>
          <w:lang w:val="de-DE"/>
        </w:rPr>
        <w:t xml:space="preserve">Tabelle 2 </w:t>
      </w:r>
      <w:r w:rsidR="00E60903">
        <w:rPr>
          <w:lang w:val="de-DE"/>
        </w:rPr>
        <w:t>ersichtlich wird</w:t>
      </w:r>
      <w:r w:rsidR="00E35B4B">
        <w:rPr>
          <w:lang w:val="de-DE"/>
        </w:rPr>
        <w:t xml:space="preserve">. </w:t>
      </w:r>
    </w:p>
    <w:p w14:paraId="2C41ECA8" w14:textId="77777777" w:rsidR="004E4B3D" w:rsidRDefault="004E4B3D" w:rsidP="00423F3B">
      <w:pPr>
        <w:jc w:val="left"/>
        <w:rPr>
          <w:lang w:val="de-DE"/>
        </w:rPr>
      </w:pPr>
    </w:p>
    <w:p w14:paraId="29E62889" w14:textId="08B49CED" w:rsidR="0031278D" w:rsidRPr="007D235C" w:rsidRDefault="007D235C" w:rsidP="00423F3B">
      <w:pPr>
        <w:jc w:val="left"/>
        <w:rPr>
          <w:u w:val="single"/>
          <w:lang w:val="de-DE"/>
        </w:rPr>
      </w:pPr>
      <w:r w:rsidRPr="007D235C">
        <w:rPr>
          <w:u w:val="single"/>
          <w:lang w:val="de-DE"/>
        </w:rPr>
        <w:t>Abbildung 1</w:t>
      </w:r>
    </w:p>
    <w:p w14:paraId="20C62FFA" w14:textId="6AAB8834" w:rsidR="0026795B" w:rsidRDefault="007D235C" w:rsidP="00423F3B">
      <w:pPr>
        <w:jc w:val="left"/>
        <w:rPr>
          <w:lang w:val="de-DE"/>
        </w:rPr>
      </w:pPr>
      <w:r w:rsidRPr="007D235C">
        <w:rPr>
          <w:noProof/>
          <w:lang w:bidi="ar-SA"/>
        </w:rPr>
        <w:drawing>
          <wp:inline distT="0" distB="0" distL="0" distR="0" wp14:anchorId="51951DAA" wp14:editId="79E7E796">
            <wp:extent cx="5759532" cy="3467594"/>
            <wp:effectExtent l="0" t="0" r="0" b="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208D56" w14:textId="77777777" w:rsidR="006A7D81" w:rsidRDefault="006A7D81" w:rsidP="006A7D81">
      <w:pPr>
        <w:jc w:val="left"/>
        <w:rPr>
          <w:lang w:val="de-DE"/>
        </w:rPr>
      </w:pPr>
      <w:r w:rsidRPr="00CF58EE">
        <w:rPr>
          <w:u w:val="single"/>
          <w:lang w:val="de-DE"/>
        </w:rPr>
        <w:lastRenderedPageBreak/>
        <w:t>Tabelle 2</w:t>
      </w:r>
      <w:r w:rsidRPr="00CF58EE">
        <w:rPr>
          <w:lang w:val="de-DE"/>
        </w:rPr>
        <w:t>: Wichtigkeit des Themas Staatsbürgerschaft für die Befragten</w:t>
      </w:r>
      <w:r>
        <w:rPr>
          <w:lang w:val="de-DE"/>
        </w:rPr>
        <w:t xml:space="preserve"> insgesamt und </w:t>
      </w:r>
      <w:r w:rsidRPr="00CF58EE">
        <w:rPr>
          <w:lang w:val="de-DE"/>
        </w:rPr>
        <w:t>nach Aufenthaltsdauer im Gastland</w:t>
      </w:r>
      <w:r>
        <w:rPr>
          <w:lang w:val="de-DE"/>
        </w:rPr>
        <w:t xml:space="preserve"> und</w:t>
      </w:r>
      <w:r w:rsidRPr="00CF58EE">
        <w:rPr>
          <w:lang w:val="de-DE"/>
        </w:rPr>
        <w:t xml:space="preserve"> höchstem Bildungsabschluss</w:t>
      </w:r>
      <w:r>
        <w:rPr>
          <w:lang w:val="de-DE"/>
        </w:rPr>
        <w:t xml:space="preserve"> (</w:t>
      </w:r>
      <w:r w:rsidRPr="00CF58EE">
        <w:rPr>
          <w:lang w:val="de-DE"/>
        </w:rPr>
        <w:t>Angaben in Prozent</w:t>
      </w:r>
      <w:r>
        <w:rPr>
          <w:lang w:val="de-DE"/>
        </w:rPr>
        <w:t>)</w:t>
      </w:r>
    </w:p>
    <w:tbl>
      <w:tblPr>
        <w:tblW w:w="5000" w:type="pct"/>
        <w:tblLayout w:type="fixed"/>
        <w:tblCellMar>
          <w:left w:w="70" w:type="dxa"/>
          <w:right w:w="70" w:type="dxa"/>
        </w:tblCellMar>
        <w:tblLook w:val="04A0" w:firstRow="1" w:lastRow="0" w:firstColumn="1" w:lastColumn="0" w:noHBand="0" w:noVBand="1"/>
      </w:tblPr>
      <w:tblGrid>
        <w:gridCol w:w="1792"/>
        <w:gridCol w:w="3099"/>
        <w:gridCol w:w="824"/>
        <w:gridCol w:w="824"/>
        <w:gridCol w:w="1026"/>
        <w:gridCol w:w="870"/>
        <w:gridCol w:w="777"/>
      </w:tblGrid>
      <w:tr w:rsidR="006A7D81" w:rsidRPr="00CC5466" w14:paraId="7DF462BF" w14:textId="77777777" w:rsidTr="00392C0A">
        <w:trPr>
          <w:trHeight w:val="454"/>
        </w:trPr>
        <w:tc>
          <w:tcPr>
            <w:tcW w:w="5000" w:type="pct"/>
            <w:gridSpan w:val="7"/>
            <w:tcBorders>
              <w:top w:val="nil"/>
              <w:left w:val="nil"/>
              <w:bottom w:val="single" w:sz="4" w:space="0" w:color="auto"/>
              <w:right w:val="nil"/>
            </w:tcBorders>
            <w:shd w:val="clear" w:color="auto" w:fill="auto"/>
            <w:noWrap/>
            <w:vAlign w:val="center"/>
            <w:hideMark/>
          </w:tcPr>
          <w:p w14:paraId="24DAEE4A" w14:textId="77777777" w:rsidR="006A7D81" w:rsidRPr="00CC5466" w:rsidRDefault="006A7D81" w:rsidP="00392C0A">
            <w:pPr>
              <w:spacing w:line="240" w:lineRule="auto"/>
              <w:jc w:val="center"/>
              <w:rPr>
                <w:rFonts w:cs="Arial"/>
                <w:b/>
                <w:bCs/>
                <w:color w:val="000000"/>
                <w:sz w:val="22"/>
                <w:szCs w:val="22"/>
                <w:lang w:bidi="ar-SA"/>
              </w:rPr>
            </w:pPr>
            <w:r w:rsidRPr="00CC5466">
              <w:rPr>
                <w:rFonts w:cs="Arial"/>
                <w:b/>
                <w:bCs/>
                <w:color w:val="000000"/>
                <w:sz w:val="22"/>
                <w:szCs w:val="22"/>
                <w:lang w:bidi="ar-SA"/>
              </w:rPr>
              <w:t>Wichtigkeit des Themas Staatsbürgerschaft in %</w:t>
            </w:r>
          </w:p>
        </w:tc>
      </w:tr>
      <w:tr w:rsidR="006A7D81" w:rsidRPr="00CC5466" w14:paraId="6895A3A4" w14:textId="77777777" w:rsidTr="00392C0A">
        <w:trPr>
          <w:trHeight w:val="454"/>
        </w:trPr>
        <w:tc>
          <w:tcPr>
            <w:tcW w:w="973" w:type="pct"/>
            <w:tcBorders>
              <w:top w:val="nil"/>
              <w:left w:val="nil"/>
              <w:bottom w:val="single" w:sz="4" w:space="0" w:color="auto"/>
              <w:right w:val="nil"/>
            </w:tcBorders>
            <w:shd w:val="clear" w:color="auto" w:fill="auto"/>
            <w:noWrap/>
            <w:vAlign w:val="bottom"/>
            <w:hideMark/>
          </w:tcPr>
          <w:p w14:paraId="237D3FBC" w14:textId="77777777" w:rsidR="006A7D81" w:rsidRPr="00CC5466" w:rsidRDefault="006A7D81" w:rsidP="00392C0A">
            <w:pPr>
              <w:spacing w:line="240" w:lineRule="auto"/>
              <w:jc w:val="left"/>
              <w:rPr>
                <w:rFonts w:cs="Arial"/>
                <w:color w:val="000000"/>
                <w:sz w:val="22"/>
                <w:szCs w:val="22"/>
                <w:lang w:bidi="ar-SA"/>
              </w:rPr>
            </w:pPr>
            <w:r w:rsidRPr="00CC5466">
              <w:rPr>
                <w:rFonts w:cs="Arial"/>
                <w:color w:val="000000"/>
                <w:sz w:val="22"/>
                <w:szCs w:val="22"/>
                <w:lang w:bidi="ar-SA"/>
              </w:rPr>
              <w:t> </w:t>
            </w:r>
          </w:p>
        </w:tc>
        <w:tc>
          <w:tcPr>
            <w:tcW w:w="1682" w:type="pct"/>
            <w:tcBorders>
              <w:top w:val="nil"/>
              <w:left w:val="nil"/>
              <w:bottom w:val="single" w:sz="4" w:space="0" w:color="auto"/>
              <w:right w:val="nil"/>
            </w:tcBorders>
            <w:shd w:val="clear" w:color="auto" w:fill="auto"/>
            <w:noWrap/>
            <w:vAlign w:val="bottom"/>
            <w:hideMark/>
          </w:tcPr>
          <w:p w14:paraId="1702DD00" w14:textId="77777777" w:rsidR="006A7D81" w:rsidRPr="00CC5466" w:rsidRDefault="006A7D81" w:rsidP="00392C0A">
            <w:pPr>
              <w:spacing w:line="240" w:lineRule="auto"/>
              <w:jc w:val="left"/>
              <w:rPr>
                <w:rFonts w:cs="Arial"/>
                <w:color w:val="000000"/>
                <w:sz w:val="22"/>
                <w:szCs w:val="22"/>
                <w:lang w:bidi="ar-SA"/>
              </w:rPr>
            </w:pPr>
            <w:r w:rsidRPr="00CC5466">
              <w:rPr>
                <w:rFonts w:cs="Arial"/>
                <w:color w:val="000000"/>
                <w:sz w:val="22"/>
                <w:szCs w:val="22"/>
                <w:lang w:bidi="ar-SA"/>
              </w:rPr>
              <w:t> </w:t>
            </w:r>
          </w:p>
        </w:tc>
        <w:tc>
          <w:tcPr>
            <w:tcW w:w="447" w:type="pct"/>
            <w:tcBorders>
              <w:top w:val="nil"/>
              <w:left w:val="nil"/>
              <w:bottom w:val="single" w:sz="4" w:space="0" w:color="auto"/>
              <w:right w:val="nil"/>
            </w:tcBorders>
            <w:shd w:val="clear" w:color="auto" w:fill="auto"/>
            <w:noWrap/>
            <w:vAlign w:val="center"/>
            <w:hideMark/>
          </w:tcPr>
          <w:p w14:paraId="63E50A56"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Sehr wichtig</w:t>
            </w:r>
          </w:p>
        </w:tc>
        <w:tc>
          <w:tcPr>
            <w:tcW w:w="447" w:type="pct"/>
            <w:tcBorders>
              <w:top w:val="nil"/>
              <w:left w:val="nil"/>
              <w:bottom w:val="single" w:sz="4" w:space="0" w:color="auto"/>
              <w:right w:val="nil"/>
            </w:tcBorders>
            <w:shd w:val="clear" w:color="auto" w:fill="auto"/>
            <w:noWrap/>
            <w:vAlign w:val="center"/>
            <w:hideMark/>
          </w:tcPr>
          <w:p w14:paraId="64CA6E11"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Eher wichtig</w:t>
            </w:r>
          </w:p>
        </w:tc>
        <w:tc>
          <w:tcPr>
            <w:tcW w:w="557" w:type="pct"/>
            <w:tcBorders>
              <w:top w:val="nil"/>
              <w:left w:val="nil"/>
              <w:bottom w:val="single" w:sz="4" w:space="0" w:color="auto"/>
              <w:right w:val="nil"/>
            </w:tcBorders>
            <w:shd w:val="clear" w:color="auto" w:fill="auto"/>
            <w:noWrap/>
            <w:vAlign w:val="center"/>
            <w:hideMark/>
          </w:tcPr>
          <w:p w14:paraId="44ED6070"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Weniger wichtig</w:t>
            </w:r>
          </w:p>
        </w:tc>
        <w:tc>
          <w:tcPr>
            <w:tcW w:w="472" w:type="pct"/>
            <w:tcBorders>
              <w:top w:val="nil"/>
              <w:left w:val="nil"/>
              <w:bottom w:val="single" w:sz="4" w:space="0" w:color="auto"/>
              <w:right w:val="nil"/>
            </w:tcBorders>
            <w:shd w:val="clear" w:color="auto" w:fill="auto"/>
            <w:noWrap/>
            <w:vAlign w:val="center"/>
            <w:hideMark/>
          </w:tcPr>
          <w:p w14:paraId="61996F7E"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Gar nicht wichtig</w:t>
            </w:r>
          </w:p>
        </w:tc>
        <w:tc>
          <w:tcPr>
            <w:tcW w:w="422" w:type="pct"/>
            <w:tcBorders>
              <w:top w:val="nil"/>
              <w:left w:val="nil"/>
              <w:bottom w:val="single" w:sz="4" w:space="0" w:color="auto"/>
              <w:right w:val="nil"/>
            </w:tcBorders>
            <w:shd w:val="clear" w:color="auto" w:fill="auto"/>
            <w:noWrap/>
            <w:vAlign w:val="center"/>
            <w:hideMark/>
          </w:tcPr>
          <w:p w14:paraId="56572790"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G</w:t>
            </w:r>
            <w:r w:rsidRPr="00CC5466">
              <w:rPr>
                <w:rFonts w:cs="Arial"/>
                <w:color w:val="000000"/>
                <w:sz w:val="22"/>
                <w:szCs w:val="22"/>
                <w:lang w:bidi="ar-SA"/>
              </w:rPr>
              <w:t>e</w:t>
            </w:r>
            <w:r w:rsidRPr="00CC5466">
              <w:rPr>
                <w:rFonts w:cs="Arial"/>
                <w:color w:val="000000"/>
                <w:sz w:val="22"/>
                <w:szCs w:val="22"/>
                <w:lang w:bidi="ar-SA"/>
              </w:rPr>
              <w:t>samt</w:t>
            </w:r>
          </w:p>
        </w:tc>
      </w:tr>
      <w:tr w:rsidR="006A7D81" w:rsidRPr="00CC5466" w14:paraId="37B5A9A6" w14:textId="77777777" w:rsidTr="00392C0A">
        <w:trPr>
          <w:trHeight w:val="454"/>
        </w:trPr>
        <w:tc>
          <w:tcPr>
            <w:tcW w:w="973" w:type="pct"/>
            <w:vMerge w:val="restart"/>
            <w:tcBorders>
              <w:top w:val="nil"/>
              <w:left w:val="nil"/>
              <w:bottom w:val="single" w:sz="4" w:space="0" w:color="auto"/>
              <w:right w:val="nil"/>
            </w:tcBorders>
            <w:shd w:val="clear" w:color="auto" w:fill="auto"/>
            <w:noWrap/>
            <w:vAlign w:val="center"/>
            <w:hideMark/>
          </w:tcPr>
          <w:p w14:paraId="4FB3ACBC" w14:textId="77777777" w:rsidR="006A7D81" w:rsidRPr="00CC5466" w:rsidRDefault="006A7D81" w:rsidP="00392C0A">
            <w:pPr>
              <w:spacing w:line="240" w:lineRule="auto"/>
              <w:jc w:val="left"/>
              <w:rPr>
                <w:rFonts w:cs="Arial"/>
                <w:color w:val="000000"/>
                <w:sz w:val="22"/>
                <w:szCs w:val="22"/>
                <w:lang w:bidi="ar-SA"/>
              </w:rPr>
            </w:pPr>
            <w:r w:rsidRPr="00CC5466">
              <w:rPr>
                <w:rFonts w:cs="Arial"/>
                <w:color w:val="000000"/>
                <w:sz w:val="22"/>
                <w:szCs w:val="22"/>
                <w:lang w:bidi="ar-SA"/>
              </w:rPr>
              <w:t>Aufenthaltsda</w:t>
            </w:r>
            <w:r w:rsidRPr="00CC5466">
              <w:rPr>
                <w:rFonts w:cs="Arial"/>
                <w:color w:val="000000"/>
                <w:sz w:val="22"/>
                <w:szCs w:val="22"/>
                <w:lang w:bidi="ar-SA"/>
              </w:rPr>
              <w:t>u</w:t>
            </w:r>
            <w:r w:rsidRPr="00CC5466">
              <w:rPr>
                <w:rFonts w:cs="Arial"/>
                <w:color w:val="000000"/>
                <w:sz w:val="22"/>
                <w:szCs w:val="22"/>
                <w:lang w:bidi="ar-SA"/>
              </w:rPr>
              <w:t>er im Gastland</w:t>
            </w:r>
          </w:p>
        </w:tc>
        <w:tc>
          <w:tcPr>
            <w:tcW w:w="1682" w:type="pct"/>
            <w:tcBorders>
              <w:top w:val="nil"/>
              <w:left w:val="nil"/>
              <w:bottom w:val="single" w:sz="4" w:space="0" w:color="BFBFBF"/>
              <w:right w:val="nil"/>
            </w:tcBorders>
            <w:shd w:val="clear" w:color="auto" w:fill="auto"/>
            <w:noWrap/>
            <w:vAlign w:val="center"/>
            <w:hideMark/>
          </w:tcPr>
          <w:p w14:paraId="3AF68030" w14:textId="77777777" w:rsidR="006A7D81" w:rsidRPr="00CC5466" w:rsidRDefault="006A7D81" w:rsidP="00392C0A">
            <w:pPr>
              <w:spacing w:line="240" w:lineRule="auto"/>
              <w:jc w:val="left"/>
              <w:rPr>
                <w:rFonts w:cs="Arial"/>
                <w:color w:val="000000"/>
                <w:sz w:val="22"/>
                <w:szCs w:val="22"/>
                <w:lang w:bidi="ar-SA"/>
              </w:rPr>
            </w:pPr>
            <w:r w:rsidRPr="00CC5466">
              <w:rPr>
                <w:rFonts w:cs="Arial"/>
                <w:color w:val="000000"/>
                <w:sz w:val="22"/>
                <w:szCs w:val="22"/>
                <w:lang w:bidi="ar-SA"/>
              </w:rPr>
              <w:t>0 bis 10 Jahre</w:t>
            </w:r>
          </w:p>
        </w:tc>
        <w:tc>
          <w:tcPr>
            <w:tcW w:w="447" w:type="pct"/>
            <w:tcBorders>
              <w:top w:val="nil"/>
              <w:left w:val="nil"/>
              <w:bottom w:val="single" w:sz="4" w:space="0" w:color="BFBFBF"/>
              <w:right w:val="nil"/>
            </w:tcBorders>
            <w:shd w:val="clear" w:color="auto" w:fill="auto"/>
            <w:noWrap/>
            <w:vAlign w:val="center"/>
            <w:hideMark/>
          </w:tcPr>
          <w:p w14:paraId="1DA08DC0"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51</w:t>
            </w:r>
          </w:p>
        </w:tc>
        <w:tc>
          <w:tcPr>
            <w:tcW w:w="447" w:type="pct"/>
            <w:tcBorders>
              <w:top w:val="nil"/>
              <w:left w:val="nil"/>
              <w:bottom w:val="single" w:sz="4" w:space="0" w:color="BFBFBF"/>
              <w:right w:val="nil"/>
            </w:tcBorders>
            <w:shd w:val="clear" w:color="auto" w:fill="auto"/>
            <w:noWrap/>
            <w:vAlign w:val="center"/>
            <w:hideMark/>
          </w:tcPr>
          <w:p w14:paraId="336AD033"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36</w:t>
            </w:r>
          </w:p>
        </w:tc>
        <w:tc>
          <w:tcPr>
            <w:tcW w:w="557" w:type="pct"/>
            <w:tcBorders>
              <w:top w:val="nil"/>
              <w:left w:val="nil"/>
              <w:bottom w:val="single" w:sz="4" w:space="0" w:color="BFBFBF"/>
              <w:right w:val="nil"/>
            </w:tcBorders>
            <w:shd w:val="clear" w:color="auto" w:fill="auto"/>
            <w:noWrap/>
            <w:vAlign w:val="center"/>
            <w:hideMark/>
          </w:tcPr>
          <w:p w14:paraId="23C1F904"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10</w:t>
            </w:r>
          </w:p>
        </w:tc>
        <w:tc>
          <w:tcPr>
            <w:tcW w:w="472" w:type="pct"/>
            <w:tcBorders>
              <w:top w:val="nil"/>
              <w:left w:val="nil"/>
              <w:bottom w:val="single" w:sz="4" w:space="0" w:color="BFBFBF"/>
              <w:right w:val="nil"/>
            </w:tcBorders>
            <w:shd w:val="clear" w:color="auto" w:fill="auto"/>
            <w:noWrap/>
            <w:vAlign w:val="center"/>
            <w:hideMark/>
          </w:tcPr>
          <w:p w14:paraId="637AC2AD"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3</w:t>
            </w:r>
          </w:p>
        </w:tc>
        <w:tc>
          <w:tcPr>
            <w:tcW w:w="422" w:type="pct"/>
            <w:tcBorders>
              <w:top w:val="nil"/>
              <w:left w:val="nil"/>
              <w:bottom w:val="single" w:sz="4" w:space="0" w:color="BFBFBF"/>
              <w:right w:val="nil"/>
            </w:tcBorders>
            <w:shd w:val="clear" w:color="auto" w:fill="auto"/>
            <w:noWrap/>
            <w:vAlign w:val="center"/>
            <w:hideMark/>
          </w:tcPr>
          <w:p w14:paraId="778B57D6"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100</w:t>
            </w:r>
          </w:p>
        </w:tc>
      </w:tr>
      <w:tr w:rsidR="006A7D81" w:rsidRPr="00CC5466" w14:paraId="3EF9F48F" w14:textId="77777777" w:rsidTr="00392C0A">
        <w:trPr>
          <w:trHeight w:val="454"/>
        </w:trPr>
        <w:tc>
          <w:tcPr>
            <w:tcW w:w="973" w:type="pct"/>
            <w:vMerge/>
            <w:tcBorders>
              <w:top w:val="nil"/>
              <w:left w:val="nil"/>
              <w:bottom w:val="single" w:sz="4" w:space="0" w:color="auto"/>
              <w:right w:val="nil"/>
            </w:tcBorders>
            <w:vAlign w:val="center"/>
            <w:hideMark/>
          </w:tcPr>
          <w:p w14:paraId="4F3A175A" w14:textId="77777777" w:rsidR="006A7D81" w:rsidRPr="00CC5466" w:rsidRDefault="006A7D81" w:rsidP="00392C0A">
            <w:pPr>
              <w:spacing w:line="240" w:lineRule="auto"/>
              <w:jc w:val="left"/>
              <w:rPr>
                <w:rFonts w:cs="Arial"/>
                <w:color w:val="000000"/>
                <w:sz w:val="22"/>
                <w:szCs w:val="22"/>
                <w:lang w:bidi="ar-SA"/>
              </w:rPr>
            </w:pPr>
          </w:p>
        </w:tc>
        <w:tc>
          <w:tcPr>
            <w:tcW w:w="1682" w:type="pct"/>
            <w:tcBorders>
              <w:top w:val="nil"/>
              <w:left w:val="nil"/>
              <w:bottom w:val="single" w:sz="4" w:space="0" w:color="BFBFBF"/>
              <w:right w:val="nil"/>
            </w:tcBorders>
            <w:shd w:val="clear" w:color="auto" w:fill="auto"/>
            <w:noWrap/>
            <w:vAlign w:val="center"/>
            <w:hideMark/>
          </w:tcPr>
          <w:p w14:paraId="029EAD91" w14:textId="77777777" w:rsidR="006A7D81" w:rsidRPr="00CC5466" w:rsidRDefault="006A7D81" w:rsidP="00392C0A">
            <w:pPr>
              <w:spacing w:line="240" w:lineRule="auto"/>
              <w:jc w:val="left"/>
              <w:rPr>
                <w:rFonts w:cs="Arial"/>
                <w:color w:val="000000"/>
                <w:sz w:val="22"/>
                <w:szCs w:val="22"/>
                <w:lang w:bidi="ar-SA"/>
              </w:rPr>
            </w:pPr>
            <w:r w:rsidRPr="00CC5466">
              <w:rPr>
                <w:rFonts w:cs="Arial"/>
                <w:color w:val="000000"/>
                <w:sz w:val="22"/>
                <w:szCs w:val="22"/>
                <w:lang w:bidi="ar-SA"/>
              </w:rPr>
              <w:t>11 bis 20 Jahre</w:t>
            </w:r>
          </w:p>
        </w:tc>
        <w:tc>
          <w:tcPr>
            <w:tcW w:w="447" w:type="pct"/>
            <w:tcBorders>
              <w:top w:val="nil"/>
              <w:left w:val="nil"/>
              <w:bottom w:val="single" w:sz="4" w:space="0" w:color="BFBFBF"/>
              <w:right w:val="nil"/>
            </w:tcBorders>
            <w:shd w:val="clear" w:color="auto" w:fill="auto"/>
            <w:noWrap/>
            <w:vAlign w:val="center"/>
            <w:hideMark/>
          </w:tcPr>
          <w:p w14:paraId="1C754D4C"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59</w:t>
            </w:r>
          </w:p>
        </w:tc>
        <w:tc>
          <w:tcPr>
            <w:tcW w:w="447" w:type="pct"/>
            <w:tcBorders>
              <w:top w:val="nil"/>
              <w:left w:val="nil"/>
              <w:bottom w:val="single" w:sz="4" w:space="0" w:color="BFBFBF"/>
              <w:right w:val="nil"/>
            </w:tcBorders>
            <w:shd w:val="clear" w:color="auto" w:fill="auto"/>
            <w:noWrap/>
            <w:vAlign w:val="center"/>
            <w:hideMark/>
          </w:tcPr>
          <w:p w14:paraId="5B232A3C"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33</w:t>
            </w:r>
          </w:p>
        </w:tc>
        <w:tc>
          <w:tcPr>
            <w:tcW w:w="557" w:type="pct"/>
            <w:tcBorders>
              <w:top w:val="nil"/>
              <w:left w:val="nil"/>
              <w:bottom w:val="single" w:sz="4" w:space="0" w:color="BFBFBF"/>
              <w:right w:val="nil"/>
            </w:tcBorders>
            <w:shd w:val="clear" w:color="auto" w:fill="auto"/>
            <w:noWrap/>
            <w:vAlign w:val="center"/>
            <w:hideMark/>
          </w:tcPr>
          <w:p w14:paraId="6F183788"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7</w:t>
            </w:r>
          </w:p>
        </w:tc>
        <w:tc>
          <w:tcPr>
            <w:tcW w:w="472" w:type="pct"/>
            <w:tcBorders>
              <w:top w:val="nil"/>
              <w:left w:val="nil"/>
              <w:bottom w:val="single" w:sz="4" w:space="0" w:color="BFBFBF"/>
              <w:right w:val="nil"/>
            </w:tcBorders>
            <w:shd w:val="clear" w:color="auto" w:fill="auto"/>
            <w:noWrap/>
            <w:vAlign w:val="center"/>
            <w:hideMark/>
          </w:tcPr>
          <w:p w14:paraId="0F17404A"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1</w:t>
            </w:r>
          </w:p>
        </w:tc>
        <w:tc>
          <w:tcPr>
            <w:tcW w:w="422" w:type="pct"/>
            <w:tcBorders>
              <w:top w:val="nil"/>
              <w:left w:val="nil"/>
              <w:bottom w:val="single" w:sz="4" w:space="0" w:color="BFBFBF"/>
              <w:right w:val="nil"/>
            </w:tcBorders>
            <w:shd w:val="clear" w:color="auto" w:fill="auto"/>
            <w:noWrap/>
            <w:vAlign w:val="center"/>
            <w:hideMark/>
          </w:tcPr>
          <w:p w14:paraId="0A0A0F4F"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100</w:t>
            </w:r>
          </w:p>
        </w:tc>
      </w:tr>
      <w:tr w:rsidR="006A7D81" w:rsidRPr="00CC5466" w14:paraId="7CCABAF9" w14:textId="77777777" w:rsidTr="00392C0A">
        <w:trPr>
          <w:trHeight w:val="454"/>
        </w:trPr>
        <w:tc>
          <w:tcPr>
            <w:tcW w:w="973" w:type="pct"/>
            <w:vMerge/>
            <w:tcBorders>
              <w:top w:val="nil"/>
              <w:left w:val="nil"/>
              <w:bottom w:val="single" w:sz="4" w:space="0" w:color="auto"/>
              <w:right w:val="nil"/>
            </w:tcBorders>
            <w:vAlign w:val="center"/>
            <w:hideMark/>
          </w:tcPr>
          <w:p w14:paraId="1627E7E5" w14:textId="77777777" w:rsidR="006A7D81" w:rsidRPr="00CC5466" w:rsidRDefault="006A7D81" w:rsidP="00392C0A">
            <w:pPr>
              <w:spacing w:line="240" w:lineRule="auto"/>
              <w:jc w:val="left"/>
              <w:rPr>
                <w:rFonts w:cs="Arial"/>
                <w:color w:val="000000"/>
                <w:sz w:val="22"/>
                <w:szCs w:val="22"/>
                <w:lang w:bidi="ar-SA"/>
              </w:rPr>
            </w:pPr>
          </w:p>
        </w:tc>
        <w:tc>
          <w:tcPr>
            <w:tcW w:w="1682" w:type="pct"/>
            <w:tcBorders>
              <w:top w:val="nil"/>
              <w:left w:val="nil"/>
              <w:bottom w:val="single" w:sz="4" w:space="0" w:color="auto"/>
              <w:right w:val="nil"/>
            </w:tcBorders>
            <w:shd w:val="clear" w:color="auto" w:fill="auto"/>
            <w:noWrap/>
            <w:vAlign w:val="center"/>
            <w:hideMark/>
          </w:tcPr>
          <w:p w14:paraId="13F7FCC8" w14:textId="77777777" w:rsidR="006A7D81" w:rsidRPr="00CC5466" w:rsidRDefault="006A7D81" w:rsidP="00392C0A">
            <w:pPr>
              <w:spacing w:line="240" w:lineRule="auto"/>
              <w:jc w:val="left"/>
              <w:rPr>
                <w:rFonts w:cs="Arial"/>
                <w:color w:val="000000"/>
                <w:sz w:val="22"/>
                <w:szCs w:val="22"/>
                <w:lang w:bidi="ar-SA"/>
              </w:rPr>
            </w:pPr>
            <w:r w:rsidRPr="00CC5466">
              <w:rPr>
                <w:rFonts w:cs="Arial"/>
                <w:color w:val="000000"/>
                <w:sz w:val="22"/>
                <w:szCs w:val="22"/>
                <w:lang w:bidi="ar-SA"/>
              </w:rPr>
              <w:t>mehr als 20 Jahre</w:t>
            </w:r>
          </w:p>
        </w:tc>
        <w:tc>
          <w:tcPr>
            <w:tcW w:w="447" w:type="pct"/>
            <w:tcBorders>
              <w:top w:val="nil"/>
              <w:left w:val="nil"/>
              <w:bottom w:val="single" w:sz="4" w:space="0" w:color="auto"/>
              <w:right w:val="nil"/>
            </w:tcBorders>
            <w:shd w:val="clear" w:color="auto" w:fill="auto"/>
            <w:noWrap/>
            <w:vAlign w:val="center"/>
            <w:hideMark/>
          </w:tcPr>
          <w:p w14:paraId="2BA94E2A"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62</w:t>
            </w:r>
          </w:p>
        </w:tc>
        <w:tc>
          <w:tcPr>
            <w:tcW w:w="447" w:type="pct"/>
            <w:tcBorders>
              <w:top w:val="nil"/>
              <w:left w:val="nil"/>
              <w:bottom w:val="single" w:sz="4" w:space="0" w:color="auto"/>
              <w:right w:val="nil"/>
            </w:tcBorders>
            <w:shd w:val="clear" w:color="auto" w:fill="auto"/>
            <w:noWrap/>
            <w:vAlign w:val="center"/>
            <w:hideMark/>
          </w:tcPr>
          <w:p w14:paraId="19285C01"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29</w:t>
            </w:r>
          </w:p>
        </w:tc>
        <w:tc>
          <w:tcPr>
            <w:tcW w:w="557" w:type="pct"/>
            <w:tcBorders>
              <w:top w:val="nil"/>
              <w:left w:val="nil"/>
              <w:bottom w:val="single" w:sz="4" w:space="0" w:color="auto"/>
              <w:right w:val="nil"/>
            </w:tcBorders>
            <w:shd w:val="clear" w:color="auto" w:fill="auto"/>
            <w:noWrap/>
            <w:vAlign w:val="center"/>
            <w:hideMark/>
          </w:tcPr>
          <w:p w14:paraId="3C5E556D"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8</w:t>
            </w:r>
          </w:p>
        </w:tc>
        <w:tc>
          <w:tcPr>
            <w:tcW w:w="472" w:type="pct"/>
            <w:tcBorders>
              <w:top w:val="nil"/>
              <w:left w:val="nil"/>
              <w:bottom w:val="single" w:sz="4" w:space="0" w:color="auto"/>
              <w:right w:val="nil"/>
            </w:tcBorders>
            <w:shd w:val="clear" w:color="auto" w:fill="auto"/>
            <w:noWrap/>
            <w:vAlign w:val="center"/>
            <w:hideMark/>
          </w:tcPr>
          <w:p w14:paraId="09FFFFE2"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1</w:t>
            </w:r>
          </w:p>
        </w:tc>
        <w:tc>
          <w:tcPr>
            <w:tcW w:w="422" w:type="pct"/>
            <w:tcBorders>
              <w:top w:val="nil"/>
              <w:left w:val="nil"/>
              <w:bottom w:val="single" w:sz="4" w:space="0" w:color="auto"/>
              <w:right w:val="nil"/>
            </w:tcBorders>
            <w:shd w:val="clear" w:color="auto" w:fill="auto"/>
            <w:noWrap/>
            <w:vAlign w:val="center"/>
            <w:hideMark/>
          </w:tcPr>
          <w:p w14:paraId="3D0826F1"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100</w:t>
            </w:r>
          </w:p>
        </w:tc>
      </w:tr>
      <w:tr w:rsidR="006A7D81" w:rsidRPr="00CC5466" w14:paraId="7C854291" w14:textId="77777777" w:rsidTr="00392C0A">
        <w:trPr>
          <w:trHeight w:val="454"/>
        </w:trPr>
        <w:tc>
          <w:tcPr>
            <w:tcW w:w="973" w:type="pct"/>
            <w:vMerge w:val="restart"/>
            <w:tcBorders>
              <w:top w:val="nil"/>
              <w:left w:val="nil"/>
              <w:bottom w:val="single" w:sz="4" w:space="0" w:color="auto"/>
              <w:right w:val="nil"/>
            </w:tcBorders>
            <w:shd w:val="clear" w:color="auto" w:fill="auto"/>
            <w:noWrap/>
            <w:vAlign w:val="center"/>
            <w:hideMark/>
          </w:tcPr>
          <w:p w14:paraId="0873D0FB" w14:textId="77777777" w:rsidR="006A7D81" w:rsidRPr="00CC5466" w:rsidRDefault="006A7D81" w:rsidP="00392C0A">
            <w:pPr>
              <w:spacing w:line="240" w:lineRule="auto"/>
              <w:jc w:val="left"/>
              <w:rPr>
                <w:rFonts w:cs="Arial"/>
                <w:color w:val="000000"/>
                <w:sz w:val="22"/>
                <w:szCs w:val="22"/>
                <w:lang w:bidi="ar-SA"/>
              </w:rPr>
            </w:pPr>
            <w:r w:rsidRPr="00CC5466">
              <w:rPr>
                <w:rFonts w:cs="Arial"/>
                <w:color w:val="000000"/>
                <w:sz w:val="22"/>
                <w:szCs w:val="22"/>
                <w:lang w:bidi="ar-SA"/>
              </w:rPr>
              <w:t>Höchster Bi</w:t>
            </w:r>
            <w:r w:rsidRPr="00CC5466">
              <w:rPr>
                <w:rFonts w:cs="Arial"/>
                <w:color w:val="000000"/>
                <w:sz w:val="22"/>
                <w:szCs w:val="22"/>
                <w:lang w:bidi="ar-SA"/>
              </w:rPr>
              <w:t>l</w:t>
            </w:r>
            <w:r w:rsidRPr="00CC5466">
              <w:rPr>
                <w:rFonts w:cs="Arial"/>
                <w:color w:val="000000"/>
                <w:sz w:val="22"/>
                <w:szCs w:val="22"/>
                <w:lang w:bidi="ar-SA"/>
              </w:rPr>
              <w:t>dungsabschluss</w:t>
            </w:r>
          </w:p>
        </w:tc>
        <w:tc>
          <w:tcPr>
            <w:tcW w:w="1682" w:type="pct"/>
            <w:tcBorders>
              <w:top w:val="nil"/>
              <w:left w:val="nil"/>
              <w:bottom w:val="single" w:sz="4" w:space="0" w:color="BFBFBF"/>
              <w:right w:val="nil"/>
            </w:tcBorders>
            <w:shd w:val="clear" w:color="auto" w:fill="auto"/>
            <w:noWrap/>
            <w:vAlign w:val="center"/>
            <w:hideMark/>
          </w:tcPr>
          <w:p w14:paraId="5E24DDA9" w14:textId="77777777" w:rsidR="006A7D81" w:rsidRPr="00CC5466" w:rsidRDefault="006A7D81" w:rsidP="00392C0A">
            <w:pPr>
              <w:spacing w:line="240" w:lineRule="auto"/>
              <w:jc w:val="left"/>
              <w:rPr>
                <w:rFonts w:cs="Arial"/>
                <w:color w:val="000000"/>
                <w:sz w:val="22"/>
                <w:szCs w:val="22"/>
                <w:lang w:bidi="ar-SA"/>
              </w:rPr>
            </w:pPr>
            <w:r w:rsidRPr="00CC5466">
              <w:rPr>
                <w:rFonts w:cs="Arial"/>
                <w:color w:val="000000"/>
                <w:sz w:val="22"/>
                <w:szCs w:val="22"/>
                <w:lang w:bidi="ar-SA"/>
              </w:rPr>
              <w:t>kein Schulabschluss, Grun</w:t>
            </w:r>
            <w:r w:rsidRPr="00CC5466">
              <w:rPr>
                <w:rFonts w:cs="Arial"/>
                <w:color w:val="000000"/>
                <w:sz w:val="22"/>
                <w:szCs w:val="22"/>
                <w:lang w:bidi="ar-SA"/>
              </w:rPr>
              <w:t>d</w:t>
            </w:r>
            <w:r w:rsidRPr="00CC5466">
              <w:rPr>
                <w:rFonts w:cs="Arial"/>
                <w:color w:val="000000"/>
                <w:sz w:val="22"/>
                <w:szCs w:val="22"/>
                <w:lang w:bidi="ar-SA"/>
              </w:rPr>
              <w:t>schule, Berufsausbildung</w:t>
            </w:r>
          </w:p>
        </w:tc>
        <w:tc>
          <w:tcPr>
            <w:tcW w:w="447" w:type="pct"/>
            <w:tcBorders>
              <w:top w:val="nil"/>
              <w:left w:val="nil"/>
              <w:bottom w:val="single" w:sz="4" w:space="0" w:color="BFBFBF"/>
              <w:right w:val="nil"/>
            </w:tcBorders>
            <w:shd w:val="clear" w:color="auto" w:fill="auto"/>
            <w:noWrap/>
            <w:vAlign w:val="center"/>
            <w:hideMark/>
          </w:tcPr>
          <w:p w14:paraId="47588A3D"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66</w:t>
            </w:r>
          </w:p>
        </w:tc>
        <w:tc>
          <w:tcPr>
            <w:tcW w:w="447" w:type="pct"/>
            <w:tcBorders>
              <w:top w:val="nil"/>
              <w:left w:val="nil"/>
              <w:bottom w:val="single" w:sz="4" w:space="0" w:color="BFBFBF"/>
              <w:right w:val="nil"/>
            </w:tcBorders>
            <w:shd w:val="clear" w:color="auto" w:fill="auto"/>
            <w:noWrap/>
            <w:vAlign w:val="center"/>
            <w:hideMark/>
          </w:tcPr>
          <w:p w14:paraId="2ABC2AF1"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23</w:t>
            </w:r>
          </w:p>
        </w:tc>
        <w:tc>
          <w:tcPr>
            <w:tcW w:w="557" w:type="pct"/>
            <w:tcBorders>
              <w:top w:val="nil"/>
              <w:left w:val="nil"/>
              <w:bottom w:val="single" w:sz="4" w:space="0" w:color="BFBFBF"/>
              <w:right w:val="nil"/>
            </w:tcBorders>
            <w:shd w:val="clear" w:color="auto" w:fill="auto"/>
            <w:noWrap/>
            <w:vAlign w:val="center"/>
            <w:hideMark/>
          </w:tcPr>
          <w:p w14:paraId="0FC81ECB"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8</w:t>
            </w:r>
          </w:p>
        </w:tc>
        <w:tc>
          <w:tcPr>
            <w:tcW w:w="472" w:type="pct"/>
            <w:tcBorders>
              <w:top w:val="nil"/>
              <w:left w:val="nil"/>
              <w:bottom w:val="single" w:sz="4" w:space="0" w:color="BFBFBF"/>
              <w:right w:val="nil"/>
            </w:tcBorders>
            <w:shd w:val="clear" w:color="auto" w:fill="auto"/>
            <w:noWrap/>
            <w:vAlign w:val="center"/>
            <w:hideMark/>
          </w:tcPr>
          <w:p w14:paraId="0B5210EA"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3</w:t>
            </w:r>
          </w:p>
        </w:tc>
        <w:tc>
          <w:tcPr>
            <w:tcW w:w="422" w:type="pct"/>
            <w:tcBorders>
              <w:top w:val="nil"/>
              <w:left w:val="nil"/>
              <w:bottom w:val="single" w:sz="4" w:space="0" w:color="BFBFBF"/>
              <w:right w:val="nil"/>
            </w:tcBorders>
            <w:shd w:val="clear" w:color="auto" w:fill="auto"/>
            <w:noWrap/>
            <w:vAlign w:val="center"/>
            <w:hideMark/>
          </w:tcPr>
          <w:p w14:paraId="665F9934"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100</w:t>
            </w:r>
          </w:p>
        </w:tc>
      </w:tr>
      <w:tr w:rsidR="006A7D81" w:rsidRPr="00CC5466" w14:paraId="185EC72D" w14:textId="77777777" w:rsidTr="00392C0A">
        <w:trPr>
          <w:trHeight w:val="454"/>
        </w:trPr>
        <w:tc>
          <w:tcPr>
            <w:tcW w:w="973" w:type="pct"/>
            <w:vMerge/>
            <w:tcBorders>
              <w:top w:val="nil"/>
              <w:left w:val="nil"/>
              <w:bottom w:val="single" w:sz="4" w:space="0" w:color="auto"/>
              <w:right w:val="nil"/>
            </w:tcBorders>
            <w:vAlign w:val="center"/>
            <w:hideMark/>
          </w:tcPr>
          <w:p w14:paraId="1F57BD59" w14:textId="77777777" w:rsidR="006A7D81" w:rsidRPr="00CC5466" w:rsidRDefault="006A7D81" w:rsidP="00392C0A">
            <w:pPr>
              <w:spacing w:line="240" w:lineRule="auto"/>
              <w:jc w:val="left"/>
              <w:rPr>
                <w:rFonts w:cs="Arial"/>
                <w:color w:val="000000"/>
                <w:sz w:val="22"/>
                <w:szCs w:val="22"/>
                <w:lang w:bidi="ar-SA"/>
              </w:rPr>
            </w:pPr>
          </w:p>
        </w:tc>
        <w:tc>
          <w:tcPr>
            <w:tcW w:w="1682" w:type="pct"/>
            <w:tcBorders>
              <w:top w:val="nil"/>
              <w:left w:val="nil"/>
              <w:bottom w:val="single" w:sz="4" w:space="0" w:color="BFBFBF"/>
              <w:right w:val="nil"/>
            </w:tcBorders>
            <w:shd w:val="clear" w:color="auto" w:fill="auto"/>
            <w:noWrap/>
            <w:vAlign w:val="center"/>
            <w:hideMark/>
          </w:tcPr>
          <w:p w14:paraId="0407BECD" w14:textId="77777777" w:rsidR="006A7D81" w:rsidRPr="00CC5466" w:rsidRDefault="006A7D81" w:rsidP="00392C0A">
            <w:pPr>
              <w:spacing w:line="240" w:lineRule="auto"/>
              <w:jc w:val="left"/>
              <w:rPr>
                <w:rFonts w:cs="Arial"/>
                <w:color w:val="000000"/>
                <w:sz w:val="22"/>
                <w:szCs w:val="22"/>
                <w:lang w:bidi="ar-SA"/>
              </w:rPr>
            </w:pPr>
            <w:r w:rsidRPr="00CC5466">
              <w:rPr>
                <w:rFonts w:cs="Arial"/>
                <w:color w:val="000000"/>
                <w:sz w:val="22"/>
                <w:szCs w:val="22"/>
                <w:lang w:bidi="ar-SA"/>
              </w:rPr>
              <w:t>Matura, Fachausbildung</w:t>
            </w:r>
          </w:p>
        </w:tc>
        <w:tc>
          <w:tcPr>
            <w:tcW w:w="447" w:type="pct"/>
            <w:tcBorders>
              <w:top w:val="nil"/>
              <w:left w:val="nil"/>
              <w:bottom w:val="single" w:sz="4" w:space="0" w:color="BFBFBF"/>
              <w:right w:val="nil"/>
            </w:tcBorders>
            <w:shd w:val="clear" w:color="auto" w:fill="auto"/>
            <w:noWrap/>
            <w:vAlign w:val="center"/>
            <w:hideMark/>
          </w:tcPr>
          <w:p w14:paraId="382F6C2E"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63</w:t>
            </w:r>
          </w:p>
        </w:tc>
        <w:tc>
          <w:tcPr>
            <w:tcW w:w="447" w:type="pct"/>
            <w:tcBorders>
              <w:top w:val="nil"/>
              <w:left w:val="nil"/>
              <w:bottom w:val="single" w:sz="4" w:space="0" w:color="BFBFBF"/>
              <w:right w:val="nil"/>
            </w:tcBorders>
            <w:shd w:val="clear" w:color="auto" w:fill="auto"/>
            <w:noWrap/>
            <w:vAlign w:val="center"/>
            <w:hideMark/>
          </w:tcPr>
          <w:p w14:paraId="0E55F2E9"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29</w:t>
            </w:r>
          </w:p>
        </w:tc>
        <w:tc>
          <w:tcPr>
            <w:tcW w:w="557" w:type="pct"/>
            <w:tcBorders>
              <w:top w:val="nil"/>
              <w:left w:val="nil"/>
              <w:bottom w:val="single" w:sz="4" w:space="0" w:color="BFBFBF"/>
              <w:right w:val="nil"/>
            </w:tcBorders>
            <w:shd w:val="clear" w:color="auto" w:fill="auto"/>
            <w:noWrap/>
            <w:vAlign w:val="center"/>
            <w:hideMark/>
          </w:tcPr>
          <w:p w14:paraId="12549217"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7</w:t>
            </w:r>
          </w:p>
        </w:tc>
        <w:tc>
          <w:tcPr>
            <w:tcW w:w="472" w:type="pct"/>
            <w:tcBorders>
              <w:top w:val="nil"/>
              <w:left w:val="nil"/>
              <w:bottom w:val="single" w:sz="4" w:space="0" w:color="BFBFBF"/>
              <w:right w:val="nil"/>
            </w:tcBorders>
            <w:shd w:val="clear" w:color="auto" w:fill="auto"/>
            <w:noWrap/>
            <w:vAlign w:val="center"/>
            <w:hideMark/>
          </w:tcPr>
          <w:p w14:paraId="51752DBC"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1</w:t>
            </w:r>
          </w:p>
        </w:tc>
        <w:tc>
          <w:tcPr>
            <w:tcW w:w="422" w:type="pct"/>
            <w:tcBorders>
              <w:top w:val="nil"/>
              <w:left w:val="nil"/>
              <w:bottom w:val="single" w:sz="4" w:space="0" w:color="BFBFBF"/>
              <w:right w:val="nil"/>
            </w:tcBorders>
            <w:shd w:val="clear" w:color="auto" w:fill="auto"/>
            <w:noWrap/>
            <w:vAlign w:val="center"/>
            <w:hideMark/>
          </w:tcPr>
          <w:p w14:paraId="176853AD"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100</w:t>
            </w:r>
          </w:p>
        </w:tc>
      </w:tr>
      <w:tr w:rsidR="006A7D81" w:rsidRPr="00CC5466" w14:paraId="321FEE92" w14:textId="77777777" w:rsidTr="00392C0A">
        <w:trPr>
          <w:trHeight w:val="454"/>
        </w:trPr>
        <w:tc>
          <w:tcPr>
            <w:tcW w:w="973" w:type="pct"/>
            <w:vMerge/>
            <w:tcBorders>
              <w:top w:val="nil"/>
              <w:left w:val="nil"/>
              <w:bottom w:val="single" w:sz="4" w:space="0" w:color="auto"/>
              <w:right w:val="nil"/>
            </w:tcBorders>
            <w:vAlign w:val="center"/>
            <w:hideMark/>
          </w:tcPr>
          <w:p w14:paraId="070BCD16" w14:textId="77777777" w:rsidR="006A7D81" w:rsidRPr="00CC5466" w:rsidRDefault="006A7D81" w:rsidP="00392C0A">
            <w:pPr>
              <w:spacing w:line="240" w:lineRule="auto"/>
              <w:jc w:val="left"/>
              <w:rPr>
                <w:rFonts w:cs="Arial"/>
                <w:color w:val="000000"/>
                <w:sz w:val="22"/>
                <w:szCs w:val="22"/>
                <w:lang w:bidi="ar-SA"/>
              </w:rPr>
            </w:pPr>
          </w:p>
        </w:tc>
        <w:tc>
          <w:tcPr>
            <w:tcW w:w="1682" w:type="pct"/>
            <w:tcBorders>
              <w:top w:val="nil"/>
              <w:left w:val="nil"/>
              <w:bottom w:val="single" w:sz="4" w:space="0" w:color="auto"/>
              <w:right w:val="nil"/>
            </w:tcBorders>
            <w:shd w:val="clear" w:color="auto" w:fill="auto"/>
            <w:noWrap/>
            <w:vAlign w:val="center"/>
            <w:hideMark/>
          </w:tcPr>
          <w:p w14:paraId="6AC78042" w14:textId="77777777" w:rsidR="006A7D81" w:rsidRPr="00CC5466" w:rsidRDefault="006A7D81" w:rsidP="00392C0A">
            <w:pPr>
              <w:spacing w:line="240" w:lineRule="auto"/>
              <w:jc w:val="left"/>
              <w:rPr>
                <w:rFonts w:cs="Arial"/>
                <w:color w:val="000000"/>
                <w:sz w:val="22"/>
                <w:szCs w:val="22"/>
                <w:lang w:bidi="ar-SA"/>
              </w:rPr>
            </w:pPr>
            <w:r w:rsidRPr="00CC5466">
              <w:rPr>
                <w:rFonts w:cs="Arial"/>
                <w:color w:val="000000"/>
                <w:sz w:val="22"/>
                <w:szCs w:val="22"/>
                <w:lang w:bidi="ar-SA"/>
              </w:rPr>
              <w:t>Hochschule</w:t>
            </w:r>
          </w:p>
        </w:tc>
        <w:tc>
          <w:tcPr>
            <w:tcW w:w="447" w:type="pct"/>
            <w:tcBorders>
              <w:top w:val="nil"/>
              <w:left w:val="nil"/>
              <w:bottom w:val="single" w:sz="4" w:space="0" w:color="auto"/>
              <w:right w:val="nil"/>
            </w:tcBorders>
            <w:shd w:val="clear" w:color="auto" w:fill="auto"/>
            <w:noWrap/>
            <w:vAlign w:val="center"/>
            <w:hideMark/>
          </w:tcPr>
          <w:p w14:paraId="029057D2"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54</w:t>
            </w:r>
          </w:p>
        </w:tc>
        <w:tc>
          <w:tcPr>
            <w:tcW w:w="447" w:type="pct"/>
            <w:tcBorders>
              <w:top w:val="nil"/>
              <w:left w:val="nil"/>
              <w:bottom w:val="single" w:sz="4" w:space="0" w:color="auto"/>
              <w:right w:val="nil"/>
            </w:tcBorders>
            <w:shd w:val="clear" w:color="auto" w:fill="auto"/>
            <w:noWrap/>
            <w:vAlign w:val="center"/>
            <w:hideMark/>
          </w:tcPr>
          <w:p w14:paraId="7685BFB8"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35</w:t>
            </w:r>
          </w:p>
        </w:tc>
        <w:tc>
          <w:tcPr>
            <w:tcW w:w="557" w:type="pct"/>
            <w:tcBorders>
              <w:top w:val="nil"/>
              <w:left w:val="nil"/>
              <w:bottom w:val="single" w:sz="4" w:space="0" w:color="auto"/>
              <w:right w:val="nil"/>
            </w:tcBorders>
            <w:shd w:val="clear" w:color="auto" w:fill="auto"/>
            <w:noWrap/>
            <w:vAlign w:val="center"/>
            <w:hideMark/>
          </w:tcPr>
          <w:p w14:paraId="0418EB0A"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9</w:t>
            </w:r>
          </w:p>
        </w:tc>
        <w:tc>
          <w:tcPr>
            <w:tcW w:w="472" w:type="pct"/>
            <w:tcBorders>
              <w:top w:val="nil"/>
              <w:left w:val="nil"/>
              <w:bottom w:val="single" w:sz="4" w:space="0" w:color="auto"/>
              <w:right w:val="nil"/>
            </w:tcBorders>
            <w:shd w:val="clear" w:color="auto" w:fill="auto"/>
            <w:noWrap/>
            <w:vAlign w:val="center"/>
            <w:hideMark/>
          </w:tcPr>
          <w:p w14:paraId="4AFD85F8"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1</w:t>
            </w:r>
          </w:p>
        </w:tc>
        <w:tc>
          <w:tcPr>
            <w:tcW w:w="422" w:type="pct"/>
            <w:tcBorders>
              <w:top w:val="nil"/>
              <w:left w:val="nil"/>
              <w:bottom w:val="single" w:sz="4" w:space="0" w:color="auto"/>
              <w:right w:val="nil"/>
            </w:tcBorders>
            <w:shd w:val="clear" w:color="auto" w:fill="auto"/>
            <w:noWrap/>
            <w:vAlign w:val="center"/>
            <w:hideMark/>
          </w:tcPr>
          <w:p w14:paraId="7B0962CB"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100</w:t>
            </w:r>
          </w:p>
        </w:tc>
      </w:tr>
      <w:tr w:rsidR="006A7D81" w:rsidRPr="00CC5466" w14:paraId="11862641" w14:textId="77777777" w:rsidTr="00392C0A">
        <w:trPr>
          <w:trHeight w:val="454"/>
        </w:trPr>
        <w:tc>
          <w:tcPr>
            <w:tcW w:w="973" w:type="pct"/>
            <w:tcBorders>
              <w:top w:val="nil"/>
              <w:left w:val="nil"/>
              <w:bottom w:val="nil"/>
              <w:right w:val="nil"/>
            </w:tcBorders>
            <w:shd w:val="clear" w:color="auto" w:fill="auto"/>
            <w:noWrap/>
            <w:vAlign w:val="center"/>
            <w:hideMark/>
          </w:tcPr>
          <w:p w14:paraId="0E103561" w14:textId="77777777" w:rsidR="006A7D81" w:rsidRPr="00CC5466" w:rsidRDefault="006A7D81" w:rsidP="00392C0A">
            <w:pPr>
              <w:spacing w:line="240" w:lineRule="auto"/>
              <w:jc w:val="left"/>
              <w:rPr>
                <w:rFonts w:cs="Arial"/>
                <w:color w:val="000000"/>
                <w:sz w:val="22"/>
                <w:szCs w:val="22"/>
                <w:lang w:bidi="ar-SA"/>
              </w:rPr>
            </w:pPr>
            <w:r w:rsidRPr="00CC5466">
              <w:rPr>
                <w:rFonts w:cs="Arial"/>
                <w:color w:val="000000"/>
                <w:sz w:val="22"/>
                <w:szCs w:val="22"/>
                <w:lang w:bidi="ar-SA"/>
              </w:rPr>
              <w:t>Gesamt</w:t>
            </w:r>
          </w:p>
        </w:tc>
        <w:tc>
          <w:tcPr>
            <w:tcW w:w="1682" w:type="pct"/>
            <w:tcBorders>
              <w:top w:val="nil"/>
              <w:left w:val="nil"/>
              <w:bottom w:val="nil"/>
              <w:right w:val="nil"/>
            </w:tcBorders>
            <w:shd w:val="clear" w:color="auto" w:fill="auto"/>
            <w:noWrap/>
            <w:vAlign w:val="bottom"/>
            <w:hideMark/>
          </w:tcPr>
          <w:p w14:paraId="1EDC71A7" w14:textId="77777777" w:rsidR="006A7D81" w:rsidRPr="00CC5466" w:rsidRDefault="006A7D81" w:rsidP="00392C0A">
            <w:pPr>
              <w:spacing w:line="240" w:lineRule="auto"/>
              <w:jc w:val="left"/>
              <w:rPr>
                <w:rFonts w:cs="Arial"/>
                <w:color w:val="000000"/>
                <w:sz w:val="22"/>
                <w:szCs w:val="22"/>
                <w:lang w:bidi="ar-SA"/>
              </w:rPr>
            </w:pPr>
            <w:r w:rsidRPr="00CC5466">
              <w:rPr>
                <w:rFonts w:cs="Arial"/>
                <w:color w:val="000000"/>
                <w:sz w:val="22"/>
                <w:szCs w:val="22"/>
                <w:lang w:bidi="ar-SA"/>
              </w:rPr>
              <w:t> </w:t>
            </w:r>
          </w:p>
        </w:tc>
        <w:tc>
          <w:tcPr>
            <w:tcW w:w="447" w:type="pct"/>
            <w:tcBorders>
              <w:top w:val="nil"/>
              <w:left w:val="nil"/>
              <w:bottom w:val="nil"/>
              <w:right w:val="nil"/>
            </w:tcBorders>
            <w:shd w:val="clear" w:color="auto" w:fill="auto"/>
            <w:noWrap/>
            <w:vAlign w:val="center"/>
            <w:hideMark/>
          </w:tcPr>
          <w:p w14:paraId="0A00DBFA"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58</w:t>
            </w:r>
          </w:p>
        </w:tc>
        <w:tc>
          <w:tcPr>
            <w:tcW w:w="447" w:type="pct"/>
            <w:tcBorders>
              <w:top w:val="nil"/>
              <w:left w:val="nil"/>
              <w:bottom w:val="nil"/>
              <w:right w:val="nil"/>
            </w:tcBorders>
            <w:shd w:val="clear" w:color="auto" w:fill="auto"/>
            <w:noWrap/>
            <w:vAlign w:val="center"/>
            <w:hideMark/>
          </w:tcPr>
          <w:p w14:paraId="5E03C429"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32</w:t>
            </w:r>
          </w:p>
        </w:tc>
        <w:tc>
          <w:tcPr>
            <w:tcW w:w="557" w:type="pct"/>
            <w:tcBorders>
              <w:top w:val="nil"/>
              <w:left w:val="nil"/>
              <w:bottom w:val="nil"/>
              <w:right w:val="nil"/>
            </w:tcBorders>
            <w:shd w:val="clear" w:color="auto" w:fill="auto"/>
            <w:noWrap/>
            <w:vAlign w:val="center"/>
            <w:hideMark/>
          </w:tcPr>
          <w:p w14:paraId="51893787"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8</w:t>
            </w:r>
          </w:p>
        </w:tc>
        <w:tc>
          <w:tcPr>
            <w:tcW w:w="472" w:type="pct"/>
            <w:tcBorders>
              <w:top w:val="nil"/>
              <w:left w:val="nil"/>
              <w:bottom w:val="nil"/>
              <w:right w:val="nil"/>
            </w:tcBorders>
            <w:shd w:val="clear" w:color="auto" w:fill="auto"/>
            <w:noWrap/>
            <w:vAlign w:val="center"/>
            <w:hideMark/>
          </w:tcPr>
          <w:p w14:paraId="18241FB2"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2</w:t>
            </w:r>
          </w:p>
        </w:tc>
        <w:tc>
          <w:tcPr>
            <w:tcW w:w="422" w:type="pct"/>
            <w:tcBorders>
              <w:top w:val="nil"/>
              <w:left w:val="nil"/>
              <w:bottom w:val="nil"/>
              <w:right w:val="nil"/>
            </w:tcBorders>
            <w:shd w:val="clear" w:color="auto" w:fill="auto"/>
            <w:noWrap/>
            <w:vAlign w:val="center"/>
            <w:hideMark/>
          </w:tcPr>
          <w:p w14:paraId="3CE0A77C" w14:textId="77777777" w:rsidR="006A7D81" w:rsidRPr="00CC5466" w:rsidRDefault="006A7D81" w:rsidP="00392C0A">
            <w:pPr>
              <w:spacing w:line="240" w:lineRule="auto"/>
              <w:jc w:val="center"/>
              <w:rPr>
                <w:rFonts w:cs="Arial"/>
                <w:color w:val="000000"/>
                <w:sz w:val="22"/>
                <w:szCs w:val="22"/>
                <w:lang w:bidi="ar-SA"/>
              </w:rPr>
            </w:pPr>
            <w:r w:rsidRPr="00CC5466">
              <w:rPr>
                <w:rFonts w:cs="Arial"/>
                <w:color w:val="000000"/>
                <w:sz w:val="22"/>
                <w:szCs w:val="22"/>
                <w:lang w:bidi="ar-SA"/>
              </w:rPr>
              <w:t>100</w:t>
            </w:r>
          </w:p>
        </w:tc>
      </w:tr>
    </w:tbl>
    <w:p w14:paraId="627635CC" w14:textId="77777777" w:rsidR="006A7D81" w:rsidRDefault="006A7D81" w:rsidP="006A7D81">
      <w:pPr>
        <w:spacing w:before="240"/>
        <w:jc w:val="left"/>
        <w:rPr>
          <w:lang w:val="de-DE"/>
        </w:rPr>
      </w:pPr>
      <w:r w:rsidRPr="00CF58EE">
        <w:rPr>
          <w:lang w:val="de-DE"/>
        </w:rPr>
        <w:t xml:space="preserve">N=2.362 </w:t>
      </w:r>
      <w:r>
        <w:rPr>
          <w:lang w:val="de-DE"/>
        </w:rPr>
        <w:t>(Bildungsabschluss) bzw.</w:t>
      </w:r>
      <w:r w:rsidRPr="00CF58EE">
        <w:rPr>
          <w:lang w:val="de-DE"/>
        </w:rPr>
        <w:t xml:space="preserve"> 2.403</w:t>
      </w:r>
      <w:r>
        <w:rPr>
          <w:lang w:val="de-DE"/>
        </w:rPr>
        <w:t xml:space="preserve"> (Aufenthaltsdauer)</w:t>
      </w:r>
    </w:p>
    <w:p w14:paraId="5E5C627C" w14:textId="77777777" w:rsidR="006A7D81" w:rsidRDefault="006A7D81" w:rsidP="00423F3B">
      <w:pPr>
        <w:jc w:val="left"/>
        <w:rPr>
          <w:lang w:val="de-DE"/>
        </w:rPr>
      </w:pPr>
    </w:p>
    <w:p w14:paraId="193B1ADF" w14:textId="50A76824" w:rsidR="006A7D81" w:rsidRDefault="006A7D81">
      <w:pPr>
        <w:spacing w:line="240" w:lineRule="auto"/>
        <w:jc w:val="left"/>
        <w:rPr>
          <w:lang w:val="de-DE"/>
        </w:rPr>
      </w:pPr>
      <w:r>
        <w:rPr>
          <w:lang w:val="de-DE"/>
        </w:rPr>
        <w:br w:type="page"/>
      </w:r>
    </w:p>
    <w:p w14:paraId="2342B062" w14:textId="651B2424" w:rsidR="00E35B4B" w:rsidRDefault="00A740A1" w:rsidP="00423F3B">
      <w:pPr>
        <w:jc w:val="left"/>
        <w:rPr>
          <w:lang w:val="de-DE"/>
        </w:rPr>
      </w:pPr>
      <w:r>
        <w:rPr>
          <w:lang w:val="de-DE"/>
        </w:rPr>
        <w:lastRenderedPageBreak/>
        <w:t>Hochsignifikante Unterschiede gibt es zwischen den verschiedenen Aufenthaltslä</w:t>
      </w:r>
      <w:r>
        <w:rPr>
          <w:lang w:val="de-DE"/>
        </w:rPr>
        <w:t>n</w:t>
      </w:r>
      <w:r>
        <w:rPr>
          <w:lang w:val="de-DE"/>
        </w:rPr>
        <w:t>dern</w:t>
      </w:r>
      <w:r w:rsidR="0026795B">
        <w:rPr>
          <w:lang w:val="de-DE"/>
        </w:rPr>
        <w:t xml:space="preserve"> (vgl. </w:t>
      </w:r>
      <w:r w:rsidR="0026795B" w:rsidRPr="006A5BA4">
        <w:rPr>
          <w:u w:val="single"/>
          <w:lang w:val="de-DE"/>
        </w:rPr>
        <w:t>Tabelle</w:t>
      </w:r>
      <w:r w:rsidR="0031278D">
        <w:rPr>
          <w:u w:val="single"/>
          <w:lang w:val="de-DE"/>
        </w:rPr>
        <w:t xml:space="preserve"> 3</w:t>
      </w:r>
      <w:r w:rsidR="0026795B">
        <w:rPr>
          <w:lang w:val="de-DE"/>
        </w:rPr>
        <w:t xml:space="preserve"> und </w:t>
      </w:r>
      <w:r w:rsidR="0026795B" w:rsidRPr="006A5BA4">
        <w:rPr>
          <w:u w:val="single"/>
          <w:lang w:val="de-DE"/>
        </w:rPr>
        <w:t>Abbildung 2</w:t>
      </w:r>
      <w:r w:rsidR="0026795B">
        <w:rPr>
          <w:lang w:val="de-DE"/>
        </w:rPr>
        <w:t>)</w:t>
      </w:r>
      <w:r>
        <w:rPr>
          <w:lang w:val="de-DE"/>
        </w:rPr>
        <w:t xml:space="preserve">: </w:t>
      </w:r>
      <w:r w:rsidR="00E60903">
        <w:rPr>
          <w:lang w:val="de-DE"/>
        </w:rPr>
        <w:t xml:space="preserve">Im weltweiten Vergleich ist es den Personen ist das Thema Staatsbürgerschaft für die Personen in Australien – Ozeanien und Nordamerika am wichtigsten. In Europa sieht die Sache so aus: </w:t>
      </w:r>
      <w:r>
        <w:rPr>
          <w:lang w:val="de-DE"/>
        </w:rPr>
        <w:t>Für Personen, die in Ländern außerhalb der EU leben, ist das Thema Staatsbürgerschaft deutlich wicht</w:t>
      </w:r>
      <w:r>
        <w:rPr>
          <w:lang w:val="de-DE"/>
        </w:rPr>
        <w:t>i</w:t>
      </w:r>
      <w:r>
        <w:rPr>
          <w:lang w:val="de-DE"/>
        </w:rPr>
        <w:t xml:space="preserve">ger als für Personen </w:t>
      </w:r>
      <w:r w:rsidR="00E60903">
        <w:rPr>
          <w:lang w:val="de-DE"/>
        </w:rPr>
        <w:t>in einem</w:t>
      </w:r>
      <w:r>
        <w:rPr>
          <w:lang w:val="de-DE"/>
        </w:rPr>
        <w:t xml:space="preserve"> EU</w:t>
      </w:r>
      <w:r w:rsidR="00E60903">
        <w:rPr>
          <w:lang w:val="de-DE"/>
        </w:rPr>
        <w:t>-Land</w:t>
      </w:r>
      <w:r>
        <w:rPr>
          <w:lang w:val="de-DE"/>
        </w:rPr>
        <w:t>. Eine</w:t>
      </w:r>
      <w:r w:rsidR="00873A17">
        <w:rPr>
          <w:lang w:val="de-DE"/>
        </w:rPr>
        <w:t xml:space="preserve"> Ausnahme bilden die im Noch-EU-</w:t>
      </w:r>
      <w:r>
        <w:rPr>
          <w:lang w:val="de-DE"/>
        </w:rPr>
        <w:t>Land Großbritannien lebenden Auslandsösterreicherinnen und Auslandsösterreicher.</w:t>
      </w:r>
      <w:r w:rsidR="00E60903">
        <w:rPr>
          <w:lang w:val="de-DE"/>
        </w:rPr>
        <w:t xml:space="preserve"> Bei der Bildung fällt auf, dass für die Befragten das Thema Staatsbürgerschaft mit ste</w:t>
      </w:r>
      <w:r w:rsidR="00E60903">
        <w:rPr>
          <w:lang w:val="de-DE"/>
        </w:rPr>
        <w:t>i</w:t>
      </w:r>
      <w:r w:rsidR="00E60903">
        <w:rPr>
          <w:lang w:val="de-DE"/>
        </w:rPr>
        <w:t>gendem Bildungsniveau seltener „sehr wichtig“ ist.</w:t>
      </w:r>
    </w:p>
    <w:p w14:paraId="731EA509" w14:textId="2BBE3A34" w:rsidR="006A7D81" w:rsidRDefault="006A7D81">
      <w:pPr>
        <w:spacing w:line="240" w:lineRule="auto"/>
        <w:jc w:val="left"/>
        <w:rPr>
          <w:lang w:val="de-DE"/>
        </w:rPr>
      </w:pPr>
    </w:p>
    <w:p w14:paraId="23C60E7E" w14:textId="0026C2EE" w:rsidR="007D235C" w:rsidRDefault="007D235C" w:rsidP="00423F3B">
      <w:pPr>
        <w:jc w:val="left"/>
        <w:rPr>
          <w:u w:val="single"/>
          <w:lang w:val="de-DE"/>
        </w:rPr>
      </w:pPr>
      <w:r w:rsidRPr="007D235C">
        <w:rPr>
          <w:u w:val="single"/>
          <w:lang w:val="de-DE"/>
        </w:rPr>
        <w:t>Abbildung 2</w:t>
      </w:r>
    </w:p>
    <w:p w14:paraId="6A10DF0D" w14:textId="72BF0D0A" w:rsidR="007D235C" w:rsidRPr="007D235C" w:rsidRDefault="007D235C" w:rsidP="00423F3B">
      <w:pPr>
        <w:jc w:val="left"/>
        <w:rPr>
          <w:u w:val="single"/>
          <w:lang w:val="de-DE"/>
        </w:rPr>
      </w:pPr>
      <w:r>
        <w:rPr>
          <w:noProof/>
          <w:lang w:bidi="ar-SA"/>
        </w:rPr>
        <w:drawing>
          <wp:inline distT="0" distB="0" distL="0" distR="0" wp14:anchorId="26642176" wp14:editId="58AF0A35">
            <wp:extent cx="5759532" cy="4762005"/>
            <wp:effectExtent l="0" t="0" r="0" b="635"/>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A15A8C" w14:textId="77777777" w:rsidR="0026795B" w:rsidRDefault="0026795B" w:rsidP="00423F3B">
      <w:pPr>
        <w:jc w:val="left"/>
        <w:rPr>
          <w:lang w:val="de-DE"/>
        </w:rPr>
      </w:pPr>
    </w:p>
    <w:p w14:paraId="793B292B" w14:textId="68578697" w:rsidR="004A6393" w:rsidRDefault="00E60903" w:rsidP="00423F3B">
      <w:pPr>
        <w:jc w:val="left"/>
        <w:rPr>
          <w:lang w:val="de-DE"/>
        </w:rPr>
      </w:pPr>
      <w:r>
        <w:rPr>
          <w:lang w:val="de-DE"/>
        </w:rPr>
        <w:t xml:space="preserve">Es lassen sich </w:t>
      </w:r>
      <w:proofErr w:type="spellStart"/>
      <w:r w:rsidR="007D235C">
        <w:rPr>
          <w:lang w:val="de-DE"/>
        </w:rPr>
        <w:t>weiters</w:t>
      </w:r>
      <w:proofErr w:type="spellEnd"/>
      <w:r w:rsidR="007D235C">
        <w:rPr>
          <w:lang w:val="de-DE"/>
        </w:rPr>
        <w:t xml:space="preserve"> </w:t>
      </w:r>
      <w:r>
        <w:rPr>
          <w:lang w:val="de-DE"/>
        </w:rPr>
        <w:t>keine Unterschiede bezüglich Geschlecht, Herkunftsbunde</w:t>
      </w:r>
      <w:r>
        <w:rPr>
          <w:lang w:val="de-DE"/>
        </w:rPr>
        <w:t>s</w:t>
      </w:r>
      <w:r>
        <w:rPr>
          <w:lang w:val="de-DE"/>
        </w:rPr>
        <w:t>land und Anzahl der in Österreich verbrachten Jahre feststellen.</w:t>
      </w:r>
    </w:p>
    <w:p w14:paraId="79AE332A" w14:textId="77777777" w:rsidR="004E4B3D" w:rsidRDefault="004E4B3D" w:rsidP="00423F3B">
      <w:pPr>
        <w:jc w:val="left"/>
        <w:rPr>
          <w:lang w:val="de-DE"/>
        </w:rPr>
      </w:pPr>
    </w:p>
    <w:p w14:paraId="1ABA6E3A" w14:textId="1EC495FC" w:rsidR="006A7D81" w:rsidRDefault="006A7D81">
      <w:pPr>
        <w:spacing w:line="240" w:lineRule="auto"/>
        <w:jc w:val="left"/>
        <w:rPr>
          <w:u w:val="single"/>
          <w:lang w:val="de-DE"/>
        </w:rPr>
      </w:pPr>
      <w:r>
        <w:rPr>
          <w:u w:val="single"/>
          <w:lang w:val="de-DE"/>
        </w:rPr>
        <w:br w:type="page"/>
      </w:r>
    </w:p>
    <w:p w14:paraId="48C5A12A" w14:textId="470CA372" w:rsidR="006A5BA4" w:rsidRDefault="006A5BA4" w:rsidP="006A5BA4">
      <w:pPr>
        <w:jc w:val="left"/>
        <w:rPr>
          <w:lang w:val="de-DE"/>
        </w:rPr>
      </w:pPr>
      <w:r w:rsidRPr="00CF58EE">
        <w:rPr>
          <w:u w:val="single"/>
          <w:lang w:val="de-DE"/>
        </w:rPr>
        <w:lastRenderedPageBreak/>
        <w:t xml:space="preserve">Tabelle </w:t>
      </w:r>
      <w:r>
        <w:rPr>
          <w:u w:val="single"/>
          <w:lang w:val="de-DE"/>
        </w:rPr>
        <w:t>3</w:t>
      </w:r>
      <w:r w:rsidRPr="00CF58EE">
        <w:rPr>
          <w:lang w:val="de-DE"/>
        </w:rPr>
        <w:t>: Wichtigkeit des Themas Staatsbürgerschaft für die Befragten</w:t>
      </w:r>
      <w:r>
        <w:rPr>
          <w:lang w:val="de-DE"/>
        </w:rPr>
        <w:t xml:space="preserve"> nach </w:t>
      </w:r>
      <w:r w:rsidRPr="00CF58EE">
        <w:rPr>
          <w:lang w:val="de-DE"/>
        </w:rPr>
        <w:t>Aufen</w:t>
      </w:r>
      <w:r w:rsidRPr="00CF58EE">
        <w:rPr>
          <w:lang w:val="de-DE"/>
        </w:rPr>
        <w:t>t</w:t>
      </w:r>
      <w:r w:rsidRPr="00CF58EE">
        <w:rPr>
          <w:lang w:val="de-DE"/>
        </w:rPr>
        <w:t>halts</w:t>
      </w:r>
      <w:r>
        <w:rPr>
          <w:lang w:val="de-DE"/>
        </w:rPr>
        <w:t>land bzw. -</w:t>
      </w:r>
      <w:r w:rsidRPr="00CF58EE">
        <w:rPr>
          <w:lang w:val="de-DE"/>
        </w:rPr>
        <w:t>region</w:t>
      </w:r>
      <w:r>
        <w:rPr>
          <w:lang w:val="de-DE"/>
        </w:rPr>
        <w:t xml:space="preserve"> (</w:t>
      </w:r>
      <w:r w:rsidRPr="00CF58EE">
        <w:rPr>
          <w:lang w:val="de-DE"/>
        </w:rPr>
        <w:t>Angaben in Prozent</w:t>
      </w:r>
      <w:r>
        <w:rPr>
          <w:lang w:val="de-DE"/>
        </w:rPr>
        <w:t>)</w:t>
      </w:r>
    </w:p>
    <w:tbl>
      <w:tblPr>
        <w:tblW w:w="5000" w:type="pct"/>
        <w:tblCellMar>
          <w:left w:w="70" w:type="dxa"/>
          <w:right w:w="70" w:type="dxa"/>
        </w:tblCellMar>
        <w:tblLook w:val="04A0" w:firstRow="1" w:lastRow="0" w:firstColumn="1" w:lastColumn="0" w:noHBand="0" w:noVBand="1"/>
      </w:tblPr>
      <w:tblGrid>
        <w:gridCol w:w="3063"/>
        <w:gridCol w:w="1104"/>
        <w:gridCol w:w="1104"/>
        <w:gridCol w:w="1303"/>
        <w:gridCol w:w="1402"/>
        <w:gridCol w:w="1236"/>
      </w:tblGrid>
      <w:tr w:rsidR="0006008E" w:rsidRPr="0006008E" w14:paraId="46D567D6" w14:textId="77777777" w:rsidTr="006A7D81">
        <w:trPr>
          <w:trHeight w:val="454"/>
        </w:trPr>
        <w:tc>
          <w:tcPr>
            <w:tcW w:w="5000" w:type="pct"/>
            <w:gridSpan w:val="6"/>
            <w:tcBorders>
              <w:top w:val="nil"/>
              <w:left w:val="nil"/>
              <w:bottom w:val="single" w:sz="4" w:space="0" w:color="auto"/>
              <w:right w:val="nil"/>
            </w:tcBorders>
            <w:shd w:val="clear" w:color="auto" w:fill="auto"/>
            <w:noWrap/>
            <w:vAlign w:val="center"/>
            <w:hideMark/>
          </w:tcPr>
          <w:p w14:paraId="0D4FBB69" w14:textId="77777777" w:rsidR="0006008E" w:rsidRPr="0006008E" w:rsidRDefault="0006008E" w:rsidP="0006008E">
            <w:pPr>
              <w:spacing w:line="240" w:lineRule="auto"/>
              <w:jc w:val="center"/>
              <w:rPr>
                <w:rFonts w:cs="Arial"/>
                <w:b/>
                <w:bCs/>
                <w:color w:val="000000"/>
                <w:sz w:val="22"/>
                <w:szCs w:val="22"/>
                <w:lang w:bidi="ar-SA"/>
              </w:rPr>
            </w:pPr>
            <w:r w:rsidRPr="0006008E">
              <w:rPr>
                <w:rFonts w:cs="Arial"/>
                <w:b/>
                <w:bCs/>
                <w:color w:val="000000"/>
                <w:sz w:val="22"/>
                <w:szCs w:val="22"/>
                <w:lang w:bidi="ar-SA"/>
              </w:rPr>
              <w:t>Wichtigkeit des Themas Staatsbürgerschaft nach Aufenthaltsland in %</w:t>
            </w:r>
          </w:p>
        </w:tc>
      </w:tr>
      <w:tr w:rsidR="0006008E" w:rsidRPr="0006008E" w14:paraId="58AC16FD" w14:textId="77777777" w:rsidTr="006A7D81">
        <w:trPr>
          <w:trHeight w:val="454"/>
        </w:trPr>
        <w:tc>
          <w:tcPr>
            <w:tcW w:w="1663" w:type="pct"/>
            <w:tcBorders>
              <w:top w:val="nil"/>
              <w:left w:val="nil"/>
              <w:bottom w:val="nil"/>
              <w:right w:val="nil"/>
            </w:tcBorders>
            <w:shd w:val="clear" w:color="auto" w:fill="auto"/>
            <w:noWrap/>
            <w:vAlign w:val="bottom"/>
            <w:hideMark/>
          </w:tcPr>
          <w:p w14:paraId="03FD5B88" w14:textId="77777777" w:rsidR="0006008E" w:rsidRPr="0006008E" w:rsidRDefault="0006008E" w:rsidP="0006008E">
            <w:pPr>
              <w:spacing w:line="240" w:lineRule="auto"/>
              <w:jc w:val="center"/>
              <w:rPr>
                <w:rFonts w:cs="Arial"/>
                <w:b/>
                <w:bCs/>
                <w:color w:val="000000"/>
                <w:sz w:val="22"/>
                <w:szCs w:val="22"/>
                <w:lang w:bidi="ar-SA"/>
              </w:rPr>
            </w:pPr>
          </w:p>
        </w:tc>
        <w:tc>
          <w:tcPr>
            <w:tcW w:w="599" w:type="pct"/>
            <w:tcBorders>
              <w:top w:val="nil"/>
              <w:left w:val="nil"/>
              <w:bottom w:val="single" w:sz="4" w:space="0" w:color="auto"/>
              <w:right w:val="nil"/>
            </w:tcBorders>
            <w:shd w:val="clear" w:color="auto" w:fill="auto"/>
            <w:noWrap/>
            <w:vAlign w:val="center"/>
            <w:hideMark/>
          </w:tcPr>
          <w:p w14:paraId="49D03555" w14:textId="77777777" w:rsid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 xml:space="preserve">Sehr </w:t>
            </w:r>
          </w:p>
          <w:p w14:paraId="29AD1B44" w14:textId="539AD911"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wichtig</w:t>
            </w:r>
          </w:p>
        </w:tc>
        <w:tc>
          <w:tcPr>
            <w:tcW w:w="599" w:type="pct"/>
            <w:tcBorders>
              <w:top w:val="nil"/>
              <w:left w:val="nil"/>
              <w:bottom w:val="single" w:sz="4" w:space="0" w:color="auto"/>
              <w:right w:val="nil"/>
            </w:tcBorders>
            <w:shd w:val="clear" w:color="auto" w:fill="auto"/>
            <w:noWrap/>
            <w:vAlign w:val="center"/>
            <w:hideMark/>
          </w:tcPr>
          <w:p w14:paraId="76863D2F" w14:textId="77777777" w:rsid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 xml:space="preserve">Eher </w:t>
            </w:r>
          </w:p>
          <w:p w14:paraId="70FBD5A5" w14:textId="16E63661"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wichtig</w:t>
            </w:r>
          </w:p>
        </w:tc>
        <w:tc>
          <w:tcPr>
            <w:tcW w:w="707" w:type="pct"/>
            <w:tcBorders>
              <w:top w:val="nil"/>
              <w:left w:val="nil"/>
              <w:bottom w:val="single" w:sz="4" w:space="0" w:color="auto"/>
              <w:right w:val="nil"/>
            </w:tcBorders>
            <w:shd w:val="clear" w:color="auto" w:fill="auto"/>
            <w:noWrap/>
            <w:vAlign w:val="center"/>
            <w:hideMark/>
          </w:tcPr>
          <w:p w14:paraId="18C0D5EC" w14:textId="77777777" w:rsid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 xml:space="preserve">Weniger </w:t>
            </w:r>
          </w:p>
          <w:p w14:paraId="084001E6" w14:textId="38DB786E"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wichtig</w:t>
            </w:r>
          </w:p>
        </w:tc>
        <w:tc>
          <w:tcPr>
            <w:tcW w:w="761" w:type="pct"/>
            <w:tcBorders>
              <w:top w:val="nil"/>
              <w:left w:val="nil"/>
              <w:bottom w:val="single" w:sz="4" w:space="0" w:color="auto"/>
              <w:right w:val="nil"/>
            </w:tcBorders>
            <w:shd w:val="clear" w:color="auto" w:fill="auto"/>
            <w:noWrap/>
            <w:vAlign w:val="center"/>
            <w:hideMark/>
          </w:tcPr>
          <w:p w14:paraId="56A7E88E" w14:textId="77777777" w:rsid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 xml:space="preserve">Gar nicht </w:t>
            </w:r>
          </w:p>
          <w:p w14:paraId="1A9577B3" w14:textId="02916C34"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wichtig</w:t>
            </w:r>
          </w:p>
        </w:tc>
        <w:tc>
          <w:tcPr>
            <w:tcW w:w="671" w:type="pct"/>
            <w:tcBorders>
              <w:top w:val="nil"/>
              <w:left w:val="nil"/>
              <w:bottom w:val="single" w:sz="4" w:space="0" w:color="auto"/>
              <w:right w:val="nil"/>
            </w:tcBorders>
            <w:shd w:val="clear" w:color="auto" w:fill="auto"/>
            <w:noWrap/>
            <w:vAlign w:val="center"/>
            <w:hideMark/>
          </w:tcPr>
          <w:p w14:paraId="731DC8C5"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Gesamt</w:t>
            </w:r>
          </w:p>
        </w:tc>
      </w:tr>
      <w:tr w:rsidR="0006008E" w:rsidRPr="0006008E" w14:paraId="0A27381B" w14:textId="77777777" w:rsidTr="006A7D81">
        <w:trPr>
          <w:trHeight w:val="454"/>
        </w:trPr>
        <w:tc>
          <w:tcPr>
            <w:tcW w:w="1663" w:type="pct"/>
            <w:tcBorders>
              <w:top w:val="single" w:sz="4" w:space="0" w:color="auto"/>
              <w:left w:val="nil"/>
              <w:bottom w:val="single" w:sz="4" w:space="0" w:color="BFBFBF"/>
              <w:right w:val="nil"/>
            </w:tcBorders>
            <w:shd w:val="clear" w:color="auto" w:fill="auto"/>
            <w:noWrap/>
            <w:vAlign w:val="center"/>
            <w:hideMark/>
          </w:tcPr>
          <w:p w14:paraId="5CFAD7A0" w14:textId="77777777" w:rsidR="0006008E" w:rsidRPr="0006008E" w:rsidRDefault="0006008E" w:rsidP="0006008E">
            <w:pPr>
              <w:spacing w:line="240" w:lineRule="auto"/>
              <w:jc w:val="left"/>
              <w:rPr>
                <w:rFonts w:cs="Arial"/>
                <w:color w:val="000000"/>
                <w:sz w:val="22"/>
                <w:szCs w:val="22"/>
                <w:lang w:bidi="ar-SA"/>
              </w:rPr>
            </w:pPr>
            <w:r w:rsidRPr="0006008E">
              <w:rPr>
                <w:rFonts w:cs="Arial"/>
                <w:color w:val="000000"/>
                <w:sz w:val="22"/>
                <w:szCs w:val="22"/>
                <w:lang w:bidi="ar-SA"/>
              </w:rPr>
              <w:t>Europa: EU</w:t>
            </w:r>
          </w:p>
        </w:tc>
        <w:tc>
          <w:tcPr>
            <w:tcW w:w="599" w:type="pct"/>
            <w:tcBorders>
              <w:top w:val="nil"/>
              <w:left w:val="nil"/>
              <w:bottom w:val="single" w:sz="4" w:space="0" w:color="BFBFBF"/>
              <w:right w:val="nil"/>
            </w:tcBorders>
            <w:shd w:val="clear" w:color="auto" w:fill="auto"/>
            <w:noWrap/>
            <w:vAlign w:val="center"/>
            <w:hideMark/>
          </w:tcPr>
          <w:p w14:paraId="1E2F0EA9"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50</w:t>
            </w:r>
          </w:p>
        </w:tc>
        <w:tc>
          <w:tcPr>
            <w:tcW w:w="599" w:type="pct"/>
            <w:tcBorders>
              <w:top w:val="nil"/>
              <w:left w:val="nil"/>
              <w:bottom w:val="single" w:sz="4" w:space="0" w:color="BFBFBF"/>
              <w:right w:val="nil"/>
            </w:tcBorders>
            <w:shd w:val="clear" w:color="auto" w:fill="auto"/>
            <w:noWrap/>
            <w:vAlign w:val="center"/>
            <w:hideMark/>
          </w:tcPr>
          <w:p w14:paraId="0E5234B3"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36</w:t>
            </w:r>
          </w:p>
        </w:tc>
        <w:tc>
          <w:tcPr>
            <w:tcW w:w="707" w:type="pct"/>
            <w:tcBorders>
              <w:top w:val="nil"/>
              <w:left w:val="nil"/>
              <w:bottom w:val="single" w:sz="4" w:space="0" w:color="BFBFBF"/>
              <w:right w:val="nil"/>
            </w:tcBorders>
            <w:shd w:val="clear" w:color="auto" w:fill="auto"/>
            <w:noWrap/>
            <w:vAlign w:val="center"/>
            <w:hideMark/>
          </w:tcPr>
          <w:p w14:paraId="02BC7F90"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12</w:t>
            </w:r>
          </w:p>
        </w:tc>
        <w:tc>
          <w:tcPr>
            <w:tcW w:w="761" w:type="pct"/>
            <w:tcBorders>
              <w:top w:val="nil"/>
              <w:left w:val="nil"/>
              <w:bottom w:val="single" w:sz="4" w:space="0" w:color="BFBFBF"/>
              <w:right w:val="nil"/>
            </w:tcBorders>
            <w:shd w:val="clear" w:color="auto" w:fill="auto"/>
            <w:noWrap/>
            <w:vAlign w:val="center"/>
            <w:hideMark/>
          </w:tcPr>
          <w:p w14:paraId="14766433"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2</w:t>
            </w:r>
          </w:p>
        </w:tc>
        <w:tc>
          <w:tcPr>
            <w:tcW w:w="671" w:type="pct"/>
            <w:tcBorders>
              <w:top w:val="nil"/>
              <w:left w:val="nil"/>
              <w:bottom w:val="single" w:sz="4" w:space="0" w:color="BFBFBF"/>
              <w:right w:val="nil"/>
            </w:tcBorders>
            <w:shd w:val="clear" w:color="auto" w:fill="auto"/>
            <w:noWrap/>
            <w:vAlign w:val="center"/>
            <w:hideMark/>
          </w:tcPr>
          <w:p w14:paraId="1CEEA471"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100</w:t>
            </w:r>
          </w:p>
        </w:tc>
      </w:tr>
      <w:tr w:rsidR="0006008E" w:rsidRPr="0006008E" w14:paraId="53C75EBC" w14:textId="77777777" w:rsidTr="006A7D81">
        <w:trPr>
          <w:trHeight w:val="454"/>
        </w:trPr>
        <w:tc>
          <w:tcPr>
            <w:tcW w:w="1663" w:type="pct"/>
            <w:tcBorders>
              <w:top w:val="nil"/>
              <w:left w:val="nil"/>
              <w:bottom w:val="single" w:sz="4" w:space="0" w:color="BFBFBF"/>
              <w:right w:val="nil"/>
            </w:tcBorders>
            <w:shd w:val="clear" w:color="auto" w:fill="auto"/>
            <w:noWrap/>
            <w:vAlign w:val="center"/>
            <w:hideMark/>
          </w:tcPr>
          <w:p w14:paraId="1DA00800" w14:textId="77777777" w:rsidR="0006008E" w:rsidRPr="0006008E" w:rsidRDefault="0006008E" w:rsidP="0006008E">
            <w:pPr>
              <w:spacing w:line="240" w:lineRule="auto"/>
              <w:jc w:val="left"/>
              <w:rPr>
                <w:rFonts w:cs="Arial"/>
                <w:color w:val="000000"/>
                <w:sz w:val="22"/>
                <w:szCs w:val="22"/>
                <w:lang w:bidi="ar-SA"/>
              </w:rPr>
            </w:pPr>
            <w:r w:rsidRPr="0006008E">
              <w:rPr>
                <w:rFonts w:cs="Arial"/>
                <w:color w:val="000000"/>
                <w:sz w:val="22"/>
                <w:szCs w:val="22"/>
                <w:lang w:bidi="ar-SA"/>
              </w:rPr>
              <w:t>Europa: Nicht EU</w:t>
            </w:r>
          </w:p>
        </w:tc>
        <w:tc>
          <w:tcPr>
            <w:tcW w:w="599" w:type="pct"/>
            <w:tcBorders>
              <w:top w:val="nil"/>
              <w:left w:val="nil"/>
              <w:bottom w:val="single" w:sz="4" w:space="0" w:color="BFBFBF"/>
              <w:right w:val="nil"/>
            </w:tcBorders>
            <w:shd w:val="clear" w:color="auto" w:fill="auto"/>
            <w:noWrap/>
            <w:vAlign w:val="center"/>
            <w:hideMark/>
          </w:tcPr>
          <w:p w14:paraId="1F5FB793"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55</w:t>
            </w:r>
          </w:p>
        </w:tc>
        <w:tc>
          <w:tcPr>
            <w:tcW w:w="599" w:type="pct"/>
            <w:tcBorders>
              <w:top w:val="nil"/>
              <w:left w:val="nil"/>
              <w:bottom w:val="single" w:sz="4" w:space="0" w:color="BFBFBF"/>
              <w:right w:val="nil"/>
            </w:tcBorders>
            <w:shd w:val="clear" w:color="auto" w:fill="auto"/>
            <w:noWrap/>
            <w:vAlign w:val="center"/>
            <w:hideMark/>
          </w:tcPr>
          <w:p w14:paraId="3612587F"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32</w:t>
            </w:r>
          </w:p>
        </w:tc>
        <w:tc>
          <w:tcPr>
            <w:tcW w:w="707" w:type="pct"/>
            <w:tcBorders>
              <w:top w:val="nil"/>
              <w:left w:val="nil"/>
              <w:bottom w:val="single" w:sz="4" w:space="0" w:color="BFBFBF"/>
              <w:right w:val="nil"/>
            </w:tcBorders>
            <w:shd w:val="clear" w:color="auto" w:fill="auto"/>
            <w:noWrap/>
            <w:vAlign w:val="center"/>
            <w:hideMark/>
          </w:tcPr>
          <w:p w14:paraId="78D9CEA9"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10</w:t>
            </w:r>
          </w:p>
        </w:tc>
        <w:tc>
          <w:tcPr>
            <w:tcW w:w="761" w:type="pct"/>
            <w:tcBorders>
              <w:top w:val="nil"/>
              <w:left w:val="nil"/>
              <w:bottom w:val="single" w:sz="4" w:space="0" w:color="BFBFBF"/>
              <w:right w:val="nil"/>
            </w:tcBorders>
            <w:shd w:val="clear" w:color="auto" w:fill="auto"/>
            <w:noWrap/>
            <w:vAlign w:val="center"/>
            <w:hideMark/>
          </w:tcPr>
          <w:p w14:paraId="56DA1105"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2</w:t>
            </w:r>
          </w:p>
        </w:tc>
        <w:tc>
          <w:tcPr>
            <w:tcW w:w="671" w:type="pct"/>
            <w:tcBorders>
              <w:top w:val="nil"/>
              <w:left w:val="nil"/>
              <w:bottom w:val="single" w:sz="4" w:space="0" w:color="BFBFBF"/>
              <w:right w:val="nil"/>
            </w:tcBorders>
            <w:shd w:val="clear" w:color="auto" w:fill="auto"/>
            <w:noWrap/>
            <w:vAlign w:val="center"/>
            <w:hideMark/>
          </w:tcPr>
          <w:p w14:paraId="06CBCEC0"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100</w:t>
            </w:r>
          </w:p>
        </w:tc>
      </w:tr>
      <w:tr w:rsidR="0006008E" w:rsidRPr="0006008E" w14:paraId="5369663F" w14:textId="77777777" w:rsidTr="006A7D81">
        <w:trPr>
          <w:trHeight w:val="454"/>
        </w:trPr>
        <w:tc>
          <w:tcPr>
            <w:tcW w:w="1663" w:type="pct"/>
            <w:tcBorders>
              <w:top w:val="nil"/>
              <w:left w:val="nil"/>
              <w:bottom w:val="single" w:sz="4" w:space="0" w:color="BFBFBF"/>
              <w:right w:val="nil"/>
            </w:tcBorders>
            <w:shd w:val="clear" w:color="auto" w:fill="auto"/>
            <w:noWrap/>
            <w:vAlign w:val="center"/>
            <w:hideMark/>
          </w:tcPr>
          <w:p w14:paraId="228A3AF9" w14:textId="77777777" w:rsidR="0006008E" w:rsidRPr="0006008E" w:rsidRDefault="0006008E" w:rsidP="0006008E">
            <w:pPr>
              <w:spacing w:line="240" w:lineRule="auto"/>
              <w:jc w:val="left"/>
              <w:rPr>
                <w:rFonts w:cs="Arial"/>
                <w:color w:val="000000"/>
                <w:sz w:val="22"/>
                <w:szCs w:val="22"/>
                <w:lang w:bidi="ar-SA"/>
              </w:rPr>
            </w:pPr>
            <w:r w:rsidRPr="0006008E">
              <w:rPr>
                <w:rFonts w:cs="Arial"/>
                <w:color w:val="000000"/>
                <w:sz w:val="22"/>
                <w:szCs w:val="22"/>
                <w:lang w:bidi="ar-SA"/>
              </w:rPr>
              <w:t>UK</w:t>
            </w:r>
          </w:p>
        </w:tc>
        <w:tc>
          <w:tcPr>
            <w:tcW w:w="599" w:type="pct"/>
            <w:tcBorders>
              <w:top w:val="nil"/>
              <w:left w:val="nil"/>
              <w:bottom w:val="single" w:sz="4" w:space="0" w:color="BFBFBF"/>
              <w:right w:val="nil"/>
            </w:tcBorders>
            <w:shd w:val="clear" w:color="auto" w:fill="auto"/>
            <w:noWrap/>
            <w:vAlign w:val="center"/>
            <w:hideMark/>
          </w:tcPr>
          <w:p w14:paraId="2C0532C8"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63</w:t>
            </w:r>
          </w:p>
        </w:tc>
        <w:tc>
          <w:tcPr>
            <w:tcW w:w="599" w:type="pct"/>
            <w:tcBorders>
              <w:top w:val="nil"/>
              <w:left w:val="nil"/>
              <w:bottom w:val="single" w:sz="4" w:space="0" w:color="BFBFBF"/>
              <w:right w:val="nil"/>
            </w:tcBorders>
            <w:shd w:val="clear" w:color="auto" w:fill="auto"/>
            <w:noWrap/>
            <w:vAlign w:val="center"/>
            <w:hideMark/>
          </w:tcPr>
          <w:p w14:paraId="5E79F1B4"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30</w:t>
            </w:r>
          </w:p>
        </w:tc>
        <w:tc>
          <w:tcPr>
            <w:tcW w:w="707" w:type="pct"/>
            <w:tcBorders>
              <w:top w:val="nil"/>
              <w:left w:val="nil"/>
              <w:bottom w:val="single" w:sz="4" w:space="0" w:color="BFBFBF"/>
              <w:right w:val="nil"/>
            </w:tcBorders>
            <w:shd w:val="clear" w:color="auto" w:fill="auto"/>
            <w:noWrap/>
            <w:vAlign w:val="center"/>
            <w:hideMark/>
          </w:tcPr>
          <w:p w14:paraId="073A786F"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6</w:t>
            </w:r>
          </w:p>
        </w:tc>
        <w:tc>
          <w:tcPr>
            <w:tcW w:w="761" w:type="pct"/>
            <w:tcBorders>
              <w:top w:val="nil"/>
              <w:left w:val="nil"/>
              <w:bottom w:val="single" w:sz="4" w:space="0" w:color="BFBFBF"/>
              <w:right w:val="nil"/>
            </w:tcBorders>
            <w:shd w:val="clear" w:color="auto" w:fill="auto"/>
            <w:noWrap/>
            <w:vAlign w:val="center"/>
            <w:hideMark/>
          </w:tcPr>
          <w:p w14:paraId="692AFF55"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1</w:t>
            </w:r>
          </w:p>
        </w:tc>
        <w:tc>
          <w:tcPr>
            <w:tcW w:w="671" w:type="pct"/>
            <w:tcBorders>
              <w:top w:val="nil"/>
              <w:left w:val="nil"/>
              <w:bottom w:val="single" w:sz="4" w:space="0" w:color="BFBFBF"/>
              <w:right w:val="nil"/>
            </w:tcBorders>
            <w:shd w:val="clear" w:color="auto" w:fill="auto"/>
            <w:noWrap/>
            <w:vAlign w:val="center"/>
            <w:hideMark/>
          </w:tcPr>
          <w:p w14:paraId="319244E2"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100</w:t>
            </w:r>
          </w:p>
        </w:tc>
      </w:tr>
      <w:tr w:rsidR="0006008E" w:rsidRPr="0006008E" w14:paraId="02BE1106" w14:textId="77777777" w:rsidTr="006A7D81">
        <w:trPr>
          <w:trHeight w:val="454"/>
        </w:trPr>
        <w:tc>
          <w:tcPr>
            <w:tcW w:w="1663" w:type="pct"/>
            <w:tcBorders>
              <w:top w:val="nil"/>
              <w:left w:val="nil"/>
              <w:bottom w:val="single" w:sz="4" w:space="0" w:color="BFBFBF"/>
              <w:right w:val="nil"/>
            </w:tcBorders>
            <w:shd w:val="clear" w:color="auto" w:fill="auto"/>
            <w:noWrap/>
            <w:vAlign w:val="center"/>
            <w:hideMark/>
          </w:tcPr>
          <w:p w14:paraId="0D84580E" w14:textId="77777777" w:rsidR="0006008E" w:rsidRPr="0006008E" w:rsidRDefault="0006008E" w:rsidP="0006008E">
            <w:pPr>
              <w:spacing w:line="240" w:lineRule="auto"/>
              <w:jc w:val="left"/>
              <w:rPr>
                <w:rFonts w:cs="Arial"/>
                <w:color w:val="000000"/>
                <w:sz w:val="22"/>
                <w:szCs w:val="22"/>
                <w:lang w:bidi="ar-SA"/>
              </w:rPr>
            </w:pPr>
            <w:r w:rsidRPr="0006008E">
              <w:rPr>
                <w:rFonts w:cs="Arial"/>
                <w:color w:val="000000"/>
                <w:sz w:val="22"/>
                <w:szCs w:val="22"/>
                <w:lang w:bidi="ar-SA"/>
              </w:rPr>
              <w:t>Nordamerika</w:t>
            </w:r>
          </w:p>
        </w:tc>
        <w:tc>
          <w:tcPr>
            <w:tcW w:w="599" w:type="pct"/>
            <w:tcBorders>
              <w:top w:val="nil"/>
              <w:left w:val="nil"/>
              <w:bottom w:val="single" w:sz="4" w:space="0" w:color="BFBFBF"/>
              <w:right w:val="nil"/>
            </w:tcBorders>
            <w:shd w:val="clear" w:color="auto" w:fill="auto"/>
            <w:noWrap/>
            <w:vAlign w:val="center"/>
            <w:hideMark/>
          </w:tcPr>
          <w:p w14:paraId="2932CA68"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71</w:t>
            </w:r>
          </w:p>
        </w:tc>
        <w:tc>
          <w:tcPr>
            <w:tcW w:w="599" w:type="pct"/>
            <w:tcBorders>
              <w:top w:val="nil"/>
              <w:left w:val="nil"/>
              <w:bottom w:val="single" w:sz="4" w:space="0" w:color="BFBFBF"/>
              <w:right w:val="nil"/>
            </w:tcBorders>
            <w:shd w:val="clear" w:color="auto" w:fill="auto"/>
            <w:noWrap/>
            <w:vAlign w:val="center"/>
            <w:hideMark/>
          </w:tcPr>
          <w:p w14:paraId="1C8BCFE6"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24</w:t>
            </w:r>
          </w:p>
        </w:tc>
        <w:tc>
          <w:tcPr>
            <w:tcW w:w="707" w:type="pct"/>
            <w:tcBorders>
              <w:top w:val="nil"/>
              <w:left w:val="nil"/>
              <w:bottom w:val="single" w:sz="4" w:space="0" w:color="BFBFBF"/>
              <w:right w:val="nil"/>
            </w:tcBorders>
            <w:shd w:val="clear" w:color="auto" w:fill="auto"/>
            <w:noWrap/>
            <w:vAlign w:val="center"/>
            <w:hideMark/>
          </w:tcPr>
          <w:p w14:paraId="3AB37569"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4</w:t>
            </w:r>
          </w:p>
        </w:tc>
        <w:tc>
          <w:tcPr>
            <w:tcW w:w="761" w:type="pct"/>
            <w:tcBorders>
              <w:top w:val="nil"/>
              <w:left w:val="nil"/>
              <w:bottom w:val="single" w:sz="4" w:space="0" w:color="BFBFBF"/>
              <w:right w:val="nil"/>
            </w:tcBorders>
            <w:shd w:val="clear" w:color="auto" w:fill="auto"/>
            <w:noWrap/>
            <w:vAlign w:val="center"/>
            <w:hideMark/>
          </w:tcPr>
          <w:p w14:paraId="11AC023B"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1</w:t>
            </w:r>
          </w:p>
        </w:tc>
        <w:tc>
          <w:tcPr>
            <w:tcW w:w="671" w:type="pct"/>
            <w:tcBorders>
              <w:top w:val="nil"/>
              <w:left w:val="nil"/>
              <w:bottom w:val="single" w:sz="4" w:space="0" w:color="BFBFBF"/>
              <w:right w:val="nil"/>
            </w:tcBorders>
            <w:shd w:val="clear" w:color="auto" w:fill="auto"/>
            <w:noWrap/>
            <w:vAlign w:val="center"/>
            <w:hideMark/>
          </w:tcPr>
          <w:p w14:paraId="0EDE570C"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100</w:t>
            </w:r>
          </w:p>
        </w:tc>
      </w:tr>
      <w:tr w:rsidR="0006008E" w:rsidRPr="0006008E" w14:paraId="78AD3450" w14:textId="77777777" w:rsidTr="006A7D81">
        <w:trPr>
          <w:trHeight w:val="454"/>
        </w:trPr>
        <w:tc>
          <w:tcPr>
            <w:tcW w:w="1663" w:type="pct"/>
            <w:tcBorders>
              <w:top w:val="nil"/>
              <w:left w:val="nil"/>
              <w:bottom w:val="single" w:sz="4" w:space="0" w:color="BFBFBF"/>
              <w:right w:val="nil"/>
            </w:tcBorders>
            <w:shd w:val="clear" w:color="auto" w:fill="auto"/>
            <w:noWrap/>
            <w:vAlign w:val="center"/>
            <w:hideMark/>
          </w:tcPr>
          <w:p w14:paraId="509FC65B" w14:textId="77777777" w:rsidR="0006008E" w:rsidRPr="0006008E" w:rsidRDefault="0006008E" w:rsidP="0006008E">
            <w:pPr>
              <w:spacing w:line="240" w:lineRule="auto"/>
              <w:jc w:val="left"/>
              <w:rPr>
                <w:rFonts w:cs="Arial"/>
                <w:color w:val="000000"/>
                <w:sz w:val="22"/>
                <w:szCs w:val="22"/>
                <w:lang w:bidi="ar-SA"/>
              </w:rPr>
            </w:pPr>
            <w:r w:rsidRPr="0006008E">
              <w:rPr>
                <w:rFonts w:cs="Arial"/>
                <w:color w:val="000000"/>
                <w:sz w:val="22"/>
                <w:szCs w:val="22"/>
                <w:lang w:bidi="ar-SA"/>
              </w:rPr>
              <w:t>Südamerika</w:t>
            </w:r>
          </w:p>
        </w:tc>
        <w:tc>
          <w:tcPr>
            <w:tcW w:w="599" w:type="pct"/>
            <w:tcBorders>
              <w:top w:val="nil"/>
              <w:left w:val="nil"/>
              <w:bottom w:val="single" w:sz="4" w:space="0" w:color="BFBFBF"/>
              <w:right w:val="nil"/>
            </w:tcBorders>
            <w:shd w:val="clear" w:color="auto" w:fill="auto"/>
            <w:noWrap/>
            <w:vAlign w:val="center"/>
            <w:hideMark/>
          </w:tcPr>
          <w:p w14:paraId="1C896D3A"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45</w:t>
            </w:r>
          </w:p>
        </w:tc>
        <w:tc>
          <w:tcPr>
            <w:tcW w:w="599" w:type="pct"/>
            <w:tcBorders>
              <w:top w:val="nil"/>
              <w:left w:val="nil"/>
              <w:bottom w:val="single" w:sz="4" w:space="0" w:color="BFBFBF"/>
              <w:right w:val="nil"/>
            </w:tcBorders>
            <w:shd w:val="clear" w:color="auto" w:fill="auto"/>
            <w:noWrap/>
            <w:vAlign w:val="center"/>
            <w:hideMark/>
          </w:tcPr>
          <w:p w14:paraId="5F2FFE38"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51</w:t>
            </w:r>
          </w:p>
        </w:tc>
        <w:tc>
          <w:tcPr>
            <w:tcW w:w="707" w:type="pct"/>
            <w:tcBorders>
              <w:top w:val="nil"/>
              <w:left w:val="nil"/>
              <w:bottom w:val="single" w:sz="4" w:space="0" w:color="BFBFBF"/>
              <w:right w:val="nil"/>
            </w:tcBorders>
            <w:shd w:val="clear" w:color="auto" w:fill="auto"/>
            <w:noWrap/>
            <w:vAlign w:val="center"/>
            <w:hideMark/>
          </w:tcPr>
          <w:p w14:paraId="4F38945E"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2</w:t>
            </w:r>
          </w:p>
        </w:tc>
        <w:tc>
          <w:tcPr>
            <w:tcW w:w="761" w:type="pct"/>
            <w:tcBorders>
              <w:top w:val="nil"/>
              <w:left w:val="nil"/>
              <w:bottom w:val="single" w:sz="4" w:space="0" w:color="BFBFBF"/>
              <w:right w:val="nil"/>
            </w:tcBorders>
            <w:shd w:val="clear" w:color="auto" w:fill="auto"/>
            <w:noWrap/>
            <w:vAlign w:val="center"/>
            <w:hideMark/>
          </w:tcPr>
          <w:p w14:paraId="48A0B4D0"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2</w:t>
            </w:r>
          </w:p>
        </w:tc>
        <w:tc>
          <w:tcPr>
            <w:tcW w:w="671" w:type="pct"/>
            <w:tcBorders>
              <w:top w:val="nil"/>
              <w:left w:val="nil"/>
              <w:bottom w:val="single" w:sz="4" w:space="0" w:color="BFBFBF"/>
              <w:right w:val="nil"/>
            </w:tcBorders>
            <w:shd w:val="clear" w:color="auto" w:fill="auto"/>
            <w:noWrap/>
            <w:vAlign w:val="center"/>
            <w:hideMark/>
          </w:tcPr>
          <w:p w14:paraId="58456129"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100</w:t>
            </w:r>
          </w:p>
        </w:tc>
      </w:tr>
      <w:tr w:rsidR="0006008E" w:rsidRPr="0006008E" w14:paraId="70EB7B58" w14:textId="77777777" w:rsidTr="006A7D81">
        <w:trPr>
          <w:trHeight w:val="454"/>
        </w:trPr>
        <w:tc>
          <w:tcPr>
            <w:tcW w:w="1663" w:type="pct"/>
            <w:tcBorders>
              <w:top w:val="nil"/>
              <w:left w:val="nil"/>
              <w:bottom w:val="single" w:sz="4" w:space="0" w:color="BFBFBF"/>
              <w:right w:val="nil"/>
            </w:tcBorders>
            <w:shd w:val="clear" w:color="auto" w:fill="auto"/>
            <w:noWrap/>
            <w:vAlign w:val="center"/>
            <w:hideMark/>
          </w:tcPr>
          <w:p w14:paraId="27BCD9C6" w14:textId="77777777" w:rsidR="0006008E" w:rsidRPr="0006008E" w:rsidRDefault="0006008E" w:rsidP="0006008E">
            <w:pPr>
              <w:spacing w:line="240" w:lineRule="auto"/>
              <w:jc w:val="left"/>
              <w:rPr>
                <w:rFonts w:cs="Arial"/>
                <w:color w:val="000000"/>
                <w:sz w:val="22"/>
                <w:szCs w:val="22"/>
                <w:lang w:bidi="ar-SA"/>
              </w:rPr>
            </w:pPr>
            <w:r w:rsidRPr="0006008E">
              <w:rPr>
                <w:rFonts w:cs="Arial"/>
                <w:color w:val="000000"/>
                <w:sz w:val="22"/>
                <w:szCs w:val="22"/>
                <w:lang w:bidi="ar-SA"/>
              </w:rPr>
              <w:t>Zentralamerika</w:t>
            </w:r>
          </w:p>
        </w:tc>
        <w:tc>
          <w:tcPr>
            <w:tcW w:w="599" w:type="pct"/>
            <w:tcBorders>
              <w:top w:val="nil"/>
              <w:left w:val="nil"/>
              <w:bottom w:val="single" w:sz="4" w:space="0" w:color="BFBFBF"/>
              <w:right w:val="nil"/>
            </w:tcBorders>
            <w:shd w:val="clear" w:color="auto" w:fill="auto"/>
            <w:noWrap/>
            <w:vAlign w:val="center"/>
            <w:hideMark/>
          </w:tcPr>
          <w:p w14:paraId="12FB4C63"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67</w:t>
            </w:r>
          </w:p>
        </w:tc>
        <w:tc>
          <w:tcPr>
            <w:tcW w:w="599" w:type="pct"/>
            <w:tcBorders>
              <w:top w:val="nil"/>
              <w:left w:val="nil"/>
              <w:bottom w:val="single" w:sz="4" w:space="0" w:color="BFBFBF"/>
              <w:right w:val="nil"/>
            </w:tcBorders>
            <w:shd w:val="clear" w:color="auto" w:fill="auto"/>
            <w:noWrap/>
            <w:vAlign w:val="center"/>
            <w:hideMark/>
          </w:tcPr>
          <w:p w14:paraId="4DAE2211"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25</w:t>
            </w:r>
          </w:p>
        </w:tc>
        <w:tc>
          <w:tcPr>
            <w:tcW w:w="707" w:type="pct"/>
            <w:tcBorders>
              <w:top w:val="nil"/>
              <w:left w:val="nil"/>
              <w:bottom w:val="single" w:sz="4" w:space="0" w:color="BFBFBF"/>
              <w:right w:val="nil"/>
            </w:tcBorders>
            <w:shd w:val="clear" w:color="auto" w:fill="auto"/>
            <w:noWrap/>
            <w:vAlign w:val="center"/>
            <w:hideMark/>
          </w:tcPr>
          <w:p w14:paraId="2C5DD78B"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8</w:t>
            </w:r>
          </w:p>
        </w:tc>
        <w:tc>
          <w:tcPr>
            <w:tcW w:w="761" w:type="pct"/>
            <w:tcBorders>
              <w:top w:val="nil"/>
              <w:left w:val="nil"/>
              <w:bottom w:val="single" w:sz="4" w:space="0" w:color="BFBFBF"/>
              <w:right w:val="nil"/>
            </w:tcBorders>
            <w:shd w:val="clear" w:color="auto" w:fill="auto"/>
            <w:noWrap/>
            <w:vAlign w:val="center"/>
            <w:hideMark/>
          </w:tcPr>
          <w:p w14:paraId="2722C285"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0</w:t>
            </w:r>
          </w:p>
        </w:tc>
        <w:tc>
          <w:tcPr>
            <w:tcW w:w="671" w:type="pct"/>
            <w:tcBorders>
              <w:top w:val="nil"/>
              <w:left w:val="nil"/>
              <w:bottom w:val="single" w:sz="4" w:space="0" w:color="BFBFBF"/>
              <w:right w:val="nil"/>
            </w:tcBorders>
            <w:shd w:val="clear" w:color="auto" w:fill="auto"/>
            <w:noWrap/>
            <w:vAlign w:val="center"/>
            <w:hideMark/>
          </w:tcPr>
          <w:p w14:paraId="7B8D25AE"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100</w:t>
            </w:r>
          </w:p>
        </w:tc>
      </w:tr>
      <w:tr w:rsidR="0006008E" w:rsidRPr="0006008E" w14:paraId="481C4750" w14:textId="77777777" w:rsidTr="006A7D81">
        <w:trPr>
          <w:trHeight w:val="454"/>
        </w:trPr>
        <w:tc>
          <w:tcPr>
            <w:tcW w:w="1663" w:type="pct"/>
            <w:tcBorders>
              <w:top w:val="nil"/>
              <w:left w:val="nil"/>
              <w:bottom w:val="single" w:sz="4" w:space="0" w:color="BFBFBF"/>
              <w:right w:val="nil"/>
            </w:tcBorders>
            <w:shd w:val="clear" w:color="auto" w:fill="auto"/>
            <w:noWrap/>
            <w:vAlign w:val="center"/>
            <w:hideMark/>
          </w:tcPr>
          <w:p w14:paraId="14E7D7D5" w14:textId="77777777" w:rsidR="0006008E" w:rsidRPr="0006008E" w:rsidRDefault="0006008E" w:rsidP="0006008E">
            <w:pPr>
              <w:spacing w:line="240" w:lineRule="auto"/>
              <w:jc w:val="left"/>
              <w:rPr>
                <w:rFonts w:cs="Arial"/>
                <w:color w:val="000000"/>
                <w:sz w:val="22"/>
                <w:szCs w:val="22"/>
                <w:lang w:bidi="ar-SA"/>
              </w:rPr>
            </w:pPr>
            <w:r w:rsidRPr="0006008E">
              <w:rPr>
                <w:rFonts w:cs="Arial"/>
                <w:color w:val="000000"/>
                <w:sz w:val="22"/>
                <w:szCs w:val="22"/>
                <w:lang w:bidi="ar-SA"/>
              </w:rPr>
              <w:t>Mittlerer Osten</w:t>
            </w:r>
          </w:p>
        </w:tc>
        <w:tc>
          <w:tcPr>
            <w:tcW w:w="599" w:type="pct"/>
            <w:tcBorders>
              <w:top w:val="nil"/>
              <w:left w:val="nil"/>
              <w:bottom w:val="single" w:sz="4" w:space="0" w:color="BFBFBF"/>
              <w:right w:val="nil"/>
            </w:tcBorders>
            <w:shd w:val="clear" w:color="auto" w:fill="auto"/>
            <w:noWrap/>
            <w:vAlign w:val="center"/>
            <w:hideMark/>
          </w:tcPr>
          <w:p w14:paraId="1D4FB968"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64</w:t>
            </w:r>
          </w:p>
        </w:tc>
        <w:tc>
          <w:tcPr>
            <w:tcW w:w="599" w:type="pct"/>
            <w:tcBorders>
              <w:top w:val="nil"/>
              <w:left w:val="nil"/>
              <w:bottom w:val="single" w:sz="4" w:space="0" w:color="BFBFBF"/>
              <w:right w:val="nil"/>
            </w:tcBorders>
            <w:shd w:val="clear" w:color="auto" w:fill="auto"/>
            <w:noWrap/>
            <w:vAlign w:val="center"/>
            <w:hideMark/>
          </w:tcPr>
          <w:p w14:paraId="16889902"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29</w:t>
            </w:r>
          </w:p>
        </w:tc>
        <w:tc>
          <w:tcPr>
            <w:tcW w:w="707" w:type="pct"/>
            <w:tcBorders>
              <w:top w:val="nil"/>
              <w:left w:val="nil"/>
              <w:bottom w:val="single" w:sz="4" w:space="0" w:color="BFBFBF"/>
              <w:right w:val="nil"/>
            </w:tcBorders>
            <w:shd w:val="clear" w:color="auto" w:fill="auto"/>
            <w:noWrap/>
            <w:vAlign w:val="center"/>
            <w:hideMark/>
          </w:tcPr>
          <w:p w14:paraId="1162AD7B"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7</w:t>
            </w:r>
          </w:p>
        </w:tc>
        <w:tc>
          <w:tcPr>
            <w:tcW w:w="761" w:type="pct"/>
            <w:tcBorders>
              <w:top w:val="nil"/>
              <w:left w:val="nil"/>
              <w:bottom w:val="single" w:sz="4" w:space="0" w:color="BFBFBF"/>
              <w:right w:val="nil"/>
            </w:tcBorders>
            <w:shd w:val="clear" w:color="auto" w:fill="auto"/>
            <w:noWrap/>
            <w:vAlign w:val="center"/>
            <w:hideMark/>
          </w:tcPr>
          <w:p w14:paraId="11A613AA"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0</w:t>
            </w:r>
          </w:p>
        </w:tc>
        <w:tc>
          <w:tcPr>
            <w:tcW w:w="671" w:type="pct"/>
            <w:tcBorders>
              <w:top w:val="nil"/>
              <w:left w:val="nil"/>
              <w:bottom w:val="single" w:sz="4" w:space="0" w:color="BFBFBF"/>
              <w:right w:val="nil"/>
            </w:tcBorders>
            <w:shd w:val="clear" w:color="auto" w:fill="auto"/>
            <w:noWrap/>
            <w:vAlign w:val="center"/>
            <w:hideMark/>
          </w:tcPr>
          <w:p w14:paraId="2B4D1B47"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100</w:t>
            </w:r>
          </w:p>
        </w:tc>
      </w:tr>
      <w:tr w:rsidR="0006008E" w:rsidRPr="0006008E" w14:paraId="718F7F27" w14:textId="77777777" w:rsidTr="006A7D81">
        <w:trPr>
          <w:trHeight w:val="454"/>
        </w:trPr>
        <w:tc>
          <w:tcPr>
            <w:tcW w:w="1663" w:type="pct"/>
            <w:tcBorders>
              <w:top w:val="nil"/>
              <w:left w:val="nil"/>
              <w:bottom w:val="single" w:sz="4" w:space="0" w:color="BFBFBF"/>
              <w:right w:val="nil"/>
            </w:tcBorders>
            <w:shd w:val="clear" w:color="auto" w:fill="auto"/>
            <w:noWrap/>
            <w:vAlign w:val="center"/>
            <w:hideMark/>
          </w:tcPr>
          <w:p w14:paraId="7FE89DB4" w14:textId="77777777" w:rsidR="0006008E" w:rsidRPr="0006008E" w:rsidRDefault="0006008E" w:rsidP="0006008E">
            <w:pPr>
              <w:spacing w:line="240" w:lineRule="auto"/>
              <w:jc w:val="left"/>
              <w:rPr>
                <w:rFonts w:cs="Arial"/>
                <w:color w:val="000000"/>
                <w:sz w:val="22"/>
                <w:szCs w:val="22"/>
                <w:lang w:bidi="ar-SA"/>
              </w:rPr>
            </w:pPr>
            <w:r w:rsidRPr="0006008E">
              <w:rPr>
                <w:rFonts w:cs="Arial"/>
                <w:color w:val="000000"/>
                <w:sz w:val="22"/>
                <w:szCs w:val="22"/>
                <w:lang w:bidi="ar-SA"/>
              </w:rPr>
              <w:t>Ferner Osten</w:t>
            </w:r>
          </w:p>
        </w:tc>
        <w:tc>
          <w:tcPr>
            <w:tcW w:w="599" w:type="pct"/>
            <w:tcBorders>
              <w:top w:val="nil"/>
              <w:left w:val="nil"/>
              <w:bottom w:val="single" w:sz="4" w:space="0" w:color="BFBFBF"/>
              <w:right w:val="nil"/>
            </w:tcBorders>
            <w:shd w:val="clear" w:color="auto" w:fill="auto"/>
            <w:noWrap/>
            <w:vAlign w:val="center"/>
            <w:hideMark/>
          </w:tcPr>
          <w:p w14:paraId="19F6F3D6"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54</w:t>
            </w:r>
          </w:p>
        </w:tc>
        <w:tc>
          <w:tcPr>
            <w:tcW w:w="599" w:type="pct"/>
            <w:tcBorders>
              <w:top w:val="nil"/>
              <w:left w:val="nil"/>
              <w:bottom w:val="single" w:sz="4" w:space="0" w:color="BFBFBF"/>
              <w:right w:val="nil"/>
            </w:tcBorders>
            <w:shd w:val="clear" w:color="auto" w:fill="auto"/>
            <w:noWrap/>
            <w:vAlign w:val="center"/>
            <w:hideMark/>
          </w:tcPr>
          <w:p w14:paraId="31F50C5E"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37</w:t>
            </w:r>
          </w:p>
        </w:tc>
        <w:tc>
          <w:tcPr>
            <w:tcW w:w="707" w:type="pct"/>
            <w:tcBorders>
              <w:top w:val="nil"/>
              <w:left w:val="nil"/>
              <w:bottom w:val="single" w:sz="4" w:space="0" w:color="BFBFBF"/>
              <w:right w:val="nil"/>
            </w:tcBorders>
            <w:shd w:val="clear" w:color="auto" w:fill="auto"/>
            <w:noWrap/>
            <w:vAlign w:val="center"/>
            <w:hideMark/>
          </w:tcPr>
          <w:p w14:paraId="20E851C2"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5</w:t>
            </w:r>
          </w:p>
        </w:tc>
        <w:tc>
          <w:tcPr>
            <w:tcW w:w="761" w:type="pct"/>
            <w:tcBorders>
              <w:top w:val="nil"/>
              <w:left w:val="nil"/>
              <w:bottom w:val="single" w:sz="4" w:space="0" w:color="BFBFBF"/>
              <w:right w:val="nil"/>
            </w:tcBorders>
            <w:shd w:val="clear" w:color="auto" w:fill="auto"/>
            <w:noWrap/>
            <w:vAlign w:val="center"/>
            <w:hideMark/>
          </w:tcPr>
          <w:p w14:paraId="0B9550A1"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5</w:t>
            </w:r>
          </w:p>
        </w:tc>
        <w:tc>
          <w:tcPr>
            <w:tcW w:w="671" w:type="pct"/>
            <w:tcBorders>
              <w:top w:val="nil"/>
              <w:left w:val="nil"/>
              <w:bottom w:val="single" w:sz="4" w:space="0" w:color="BFBFBF"/>
              <w:right w:val="nil"/>
            </w:tcBorders>
            <w:shd w:val="clear" w:color="auto" w:fill="auto"/>
            <w:noWrap/>
            <w:vAlign w:val="center"/>
            <w:hideMark/>
          </w:tcPr>
          <w:p w14:paraId="7A42D919"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100</w:t>
            </w:r>
          </w:p>
        </w:tc>
      </w:tr>
      <w:tr w:rsidR="0006008E" w:rsidRPr="0006008E" w14:paraId="63306523" w14:textId="77777777" w:rsidTr="006A7D81">
        <w:trPr>
          <w:trHeight w:val="454"/>
        </w:trPr>
        <w:tc>
          <w:tcPr>
            <w:tcW w:w="1663" w:type="pct"/>
            <w:tcBorders>
              <w:top w:val="nil"/>
              <w:left w:val="nil"/>
              <w:bottom w:val="single" w:sz="4" w:space="0" w:color="BFBFBF"/>
              <w:right w:val="nil"/>
            </w:tcBorders>
            <w:shd w:val="clear" w:color="auto" w:fill="auto"/>
            <w:noWrap/>
            <w:vAlign w:val="center"/>
            <w:hideMark/>
          </w:tcPr>
          <w:p w14:paraId="290DEABD" w14:textId="77777777" w:rsidR="0006008E" w:rsidRPr="0006008E" w:rsidRDefault="0006008E" w:rsidP="0006008E">
            <w:pPr>
              <w:spacing w:line="240" w:lineRule="auto"/>
              <w:jc w:val="left"/>
              <w:rPr>
                <w:rFonts w:cs="Arial"/>
                <w:color w:val="000000"/>
                <w:sz w:val="22"/>
                <w:szCs w:val="22"/>
                <w:lang w:bidi="ar-SA"/>
              </w:rPr>
            </w:pPr>
            <w:r w:rsidRPr="0006008E">
              <w:rPr>
                <w:rFonts w:cs="Arial"/>
                <w:color w:val="000000"/>
                <w:sz w:val="22"/>
                <w:szCs w:val="22"/>
                <w:lang w:bidi="ar-SA"/>
              </w:rPr>
              <w:t>Australien - Ozeanien</w:t>
            </w:r>
          </w:p>
        </w:tc>
        <w:tc>
          <w:tcPr>
            <w:tcW w:w="599" w:type="pct"/>
            <w:tcBorders>
              <w:top w:val="nil"/>
              <w:left w:val="nil"/>
              <w:bottom w:val="single" w:sz="4" w:space="0" w:color="BFBFBF"/>
              <w:right w:val="nil"/>
            </w:tcBorders>
            <w:shd w:val="clear" w:color="auto" w:fill="auto"/>
            <w:noWrap/>
            <w:vAlign w:val="center"/>
            <w:hideMark/>
          </w:tcPr>
          <w:p w14:paraId="15F319F9"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76</w:t>
            </w:r>
          </w:p>
        </w:tc>
        <w:tc>
          <w:tcPr>
            <w:tcW w:w="599" w:type="pct"/>
            <w:tcBorders>
              <w:top w:val="nil"/>
              <w:left w:val="nil"/>
              <w:bottom w:val="single" w:sz="4" w:space="0" w:color="BFBFBF"/>
              <w:right w:val="nil"/>
            </w:tcBorders>
            <w:shd w:val="clear" w:color="auto" w:fill="auto"/>
            <w:noWrap/>
            <w:vAlign w:val="center"/>
            <w:hideMark/>
          </w:tcPr>
          <w:p w14:paraId="2A38199C"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22</w:t>
            </w:r>
          </w:p>
        </w:tc>
        <w:tc>
          <w:tcPr>
            <w:tcW w:w="707" w:type="pct"/>
            <w:tcBorders>
              <w:top w:val="nil"/>
              <w:left w:val="nil"/>
              <w:bottom w:val="single" w:sz="4" w:space="0" w:color="BFBFBF"/>
              <w:right w:val="nil"/>
            </w:tcBorders>
            <w:shd w:val="clear" w:color="auto" w:fill="auto"/>
            <w:noWrap/>
            <w:vAlign w:val="center"/>
            <w:hideMark/>
          </w:tcPr>
          <w:p w14:paraId="453B3955"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2</w:t>
            </w:r>
          </w:p>
        </w:tc>
        <w:tc>
          <w:tcPr>
            <w:tcW w:w="761" w:type="pct"/>
            <w:tcBorders>
              <w:top w:val="nil"/>
              <w:left w:val="nil"/>
              <w:bottom w:val="single" w:sz="4" w:space="0" w:color="BFBFBF"/>
              <w:right w:val="nil"/>
            </w:tcBorders>
            <w:shd w:val="clear" w:color="auto" w:fill="auto"/>
            <w:noWrap/>
            <w:vAlign w:val="center"/>
            <w:hideMark/>
          </w:tcPr>
          <w:p w14:paraId="0C134C8C"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0</w:t>
            </w:r>
          </w:p>
        </w:tc>
        <w:tc>
          <w:tcPr>
            <w:tcW w:w="671" w:type="pct"/>
            <w:tcBorders>
              <w:top w:val="nil"/>
              <w:left w:val="nil"/>
              <w:bottom w:val="single" w:sz="4" w:space="0" w:color="BFBFBF"/>
              <w:right w:val="nil"/>
            </w:tcBorders>
            <w:shd w:val="clear" w:color="auto" w:fill="auto"/>
            <w:noWrap/>
            <w:vAlign w:val="center"/>
            <w:hideMark/>
          </w:tcPr>
          <w:p w14:paraId="5B6C4217"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100</w:t>
            </w:r>
          </w:p>
        </w:tc>
      </w:tr>
      <w:tr w:rsidR="0006008E" w:rsidRPr="0006008E" w14:paraId="194BCF0C" w14:textId="77777777" w:rsidTr="006A7D81">
        <w:trPr>
          <w:trHeight w:val="454"/>
        </w:trPr>
        <w:tc>
          <w:tcPr>
            <w:tcW w:w="1663" w:type="pct"/>
            <w:tcBorders>
              <w:top w:val="nil"/>
              <w:left w:val="nil"/>
              <w:bottom w:val="single" w:sz="4" w:space="0" w:color="auto"/>
              <w:right w:val="nil"/>
            </w:tcBorders>
            <w:shd w:val="clear" w:color="auto" w:fill="auto"/>
            <w:noWrap/>
            <w:vAlign w:val="center"/>
            <w:hideMark/>
          </w:tcPr>
          <w:p w14:paraId="52A4E86C" w14:textId="77777777" w:rsidR="0006008E" w:rsidRPr="0006008E" w:rsidRDefault="0006008E" w:rsidP="0006008E">
            <w:pPr>
              <w:spacing w:line="240" w:lineRule="auto"/>
              <w:jc w:val="left"/>
              <w:rPr>
                <w:rFonts w:cs="Arial"/>
                <w:color w:val="000000"/>
                <w:sz w:val="22"/>
                <w:szCs w:val="22"/>
                <w:lang w:bidi="ar-SA"/>
              </w:rPr>
            </w:pPr>
            <w:r w:rsidRPr="0006008E">
              <w:rPr>
                <w:rFonts w:cs="Arial"/>
                <w:color w:val="000000"/>
                <w:sz w:val="22"/>
                <w:szCs w:val="22"/>
                <w:lang w:bidi="ar-SA"/>
              </w:rPr>
              <w:t>Afrika</w:t>
            </w:r>
          </w:p>
        </w:tc>
        <w:tc>
          <w:tcPr>
            <w:tcW w:w="599" w:type="pct"/>
            <w:tcBorders>
              <w:top w:val="nil"/>
              <w:left w:val="nil"/>
              <w:bottom w:val="single" w:sz="4" w:space="0" w:color="auto"/>
              <w:right w:val="nil"/>
            </w:tcBorders>
            <w:shd w:val="clear" w:color="auto" w:fill="auto"/>
            <w:noWrap/>
            <w:vAlign w:val="center"/>
            <w:hideMark/>
          </w:tcPr>
          <w:p w14:paraId="1B7568FA"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66</w:t>
            </w:r>
          </w:p>
        </w:tc>
        <w:tc>
          <w:tcPr>
            <w:tcW w:w="599" w:type="pct"/>
            <w:tcBorders>
              <w:top w:val="nil"/>
              <w:left w:val="nil"/>
              <w:bottom w:val="single" w:sz="4" w:space="0" w:color="auto"/>
              <w:right w:val="nil"/>
            </w:tcBorders>
            <w:shd w:val="clear" w:color="auto" w:fill="auto"/>
            <w:noWrap/>
            <w:vAlign w:val="center"/>
            <w:hideMark/>
          </w:tcPr>
          <w:p w14:paraId="02490E53"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24</w:t>
            </w:r>
          </w:p>
        </w:tc>
        <w:tc>
          <w:tcPr>
            <w:tcW w:w="707" w:type="pct"/>
            <w:tcBorders>
              <w:top w:val="nil"/>
              <w:left w:val="nil"/>
              <w:bottom w:val="single" w:sz="4" w:space="0" w:color="auto"/>
              <w:right w:val="nil"/>
            </w:tcBorders>
            <w:shd w:val="clear" w:color="auto" w:fill="auto"/>
            <w:noWrap/>
            <w:vAlign w:val="center"/>
            <w:hideMark/>
          </w:tcPr>
          <w:p w14:paraId="47B72EEA"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10</w:t>
            </w:r>
          </w:p>
        </w:tc>
        <w:tc>
          <w:tcPr>
            <w:tcW w:w="761" w:type="pct"/>
            <w:tcBorders>
              <w:top w:val="nil"/>
              <w:left w:val="nil"/>
              <w:bottom w:val="single" w:sz="4" w:space="0" w:color="auto"/>
              <w:right w:val="nil"/>
            </w:tcBorders>
            <w:shd w:val="clear" w:color="auto" w:fill="auto"/>
            <w:noWrap/>
            <w:vAlign w:val="center"/>
            <w:hideMark/>
          </w:tcPr>
          <w:p w14:paraId="598F99A8"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0</w:t>
            </w:r>
          </w:p>
        </w:tc>
        <w:tc>
          <w:tcPr>
            <w:tcW w:w="671" w:type="pct"/>
            <w:tcBorders>
              <w:top w:val="nil"/>
              <w:left w:val="nil"/>
              <w:bottom w:val="single" w:sz="4" w:space="0" w:color="auto"/>
              <w:right w:val="nil"/>
            </w:tcBorders>
            <w:shd w:val="clear" w:color="auto" w:fill="auto"/>
            <w:noWrap/>
            <w:vAlign w:val="center"/>
            <w:hideMark/>
          </w:tcPr>
          <w:p w14:paraId="750699EB"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100</w:t>
            </w:r>
          </w:p>
        </w:tc>
      </w:tr>
      <w:tr w:rsidR="0006008E" w:rsidRPr="0006008E" w14:paraId="52CE9CED" w14:textId="77777777" w:rsidTr="006A7D81">
        <w:trPr>
          <w:trHeight w:val="454"/>
        </w:trPr>
        <w:tc>
          <w:tcPr>
            <w:tcW w:w="1663" w:type="pct"/>
            <w:tcBorders>
              <w:top w:val="single" w:sz="4" w:space="0" w:color="auto"/>
              <w:left w:val="nil"/>
              <w:bottom w:val="single" w:sz="4" w:space="0" w:color="auto"/>
              <w:right w:val="nil"/>
            </w:tcBorders>
            <w:shd w:val="clear" w:color="auto" w:fill="auto"/>
            <w:noWrap/>
            <w:vAlign w:val="center"/>
            <w:hideMark/>
          </w:tcPr>
          <w:p w14:paraId="0C52D0CF" w14:textId="77777777" w:rsidR="0006008E" w:rsidRPr="0006008E" w:rsidRDefault="0006008E" w:rsidP="0006008E">
            <w:pPr>
              <w:spacing w:line="240" w:lineRule="auto"/>
              <w:jc w:val="left"/>
              <w:rPr>
                <w:rFonts w:cs="Arial"/>
                <w:color w:val="000000"/>
                <w:sz w:val="22"/>
                <w:szCs w:val="22"/>
                <w:lang w:bidi="ar-SA"/>
              </w:rPr>
            </w:pPr>
            <w:r w:rsidRPr="0006008E">
              <w:rPr>
                <w:rFonts w:cs="Arial"/>
                <w:color w:val="000000"/>
                <w:sz w:val="22"/>
                <w:szCs w:val="22"/>
                <w:lang w:bidi="ar-SA"/>
              </w:rPr>
              <w:t>Gesamt</w:t>
            </w:r>
          </w:p>
        </w:tc>
        <w:tc>
          <w:tcPr>
            <w:tcW w:w="599" w:type="pct"/>
            <w:tcBorders>
              <w:top w:val="single" w:sz="4" w:space="0" w:color="auto"/>
              <w:left w:val="nil"/>
              <w:bottom w:val="single" w:sz="4" w:space="0" w:color="auto"/>
              <w:right w:val="nil"/>
            </w:tcBorders>
            <w:shd w:val="clear" w:color="auto" w:fill="auto"/>
            <w:noWrap/>
            <w:vAlign w:val="center"/>
            <w:hideMark/>
          </w:tcPr>
          <w:p w14:paraId="602159AF"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58</w:t>
            </w:r>
          </w:p>
        </w:tc>
        <w:tc>
          <w:tcPr>
            <w:tcW w:w="599" w:type="pct"/>
            <w:tcBorders>
              <w:top w:val="single" w:sz="4" w:space="0" w:color="auto"/>
              <w:left w:val="nil"/>
              <w:bottom w:val="single" w:sz="4" w:space="0" w:color="auto"/>
              <w:right w:val="nil"/>
            </w:tcBorders>
            <w:shd w:val="clear" w:color="auto" w:fill="auto"/>
            <w:noWrap/>
            <w:vAlign w:val="center"/>
            <w:hideMark/>
          </w:tcPr>
          <w:p w14:paraId="7A7A6929"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32</w:t>
            </w:r>
          </w:p>
        </w:tc>
        <w:tc>
          <w:tcPr>
            <w:tcW w:w="707" w:type="pct"/>
            <w:tcBorders>
              <w:top w:val="single" w:sz="4" w:space="0" w:color="auto"/>
              <w:left w:val="nil"/>
              <w:bottom w:val="single" w:sz="4" w:space="0" w:color="auto"/>
              <w:right w:val="nil"/>
            </w:tcBorders>
            <w:shd w:val="clear" w:color="auto" w:fill="auto"/>
            <w:noWrap/>
            <w:vAlign w:val="center"/>
            <w:hideMark/>
          </w:tcPr>
          <w:p w14:paraId="45213AE3"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8</w:t>
            </w:r>
          </w:p>
        </w:tc>
        <w:tc>
          <w:tcPr>
            <w:tcW w:w="761" w:type="pct"/>
            <w:tcBorders>
              <w:top w:val="single" w:sz="4" w:space="0" w:color="auto"/>
              <w:left w:val="nil"/>
              <w:bottom w:val="single" w:sz="4" w:space="0" w:color="auto"/>
              <w:right w:val="nil"/>
            </w:tcBorders>
            <w:shd w:val="clear" w:color="auto" w:fill="auto"/>
            <w:noWrap/>
            <w:vAlign w:val="center"/>
            <w:hideMark/>
          </w:tcPr>
          <w:p w14:paraId="26DCED02"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2</w:t>
            </w:r>
          </w:p>
        </w:tc>
        <w:tc>
          <w:tcPr>
            <w:tcW w:w="671" w:type="pct"/>
            <w:tcBorders>
              <w:top w:val="single" w:sz="4" w:space="0" w:color="auto"/>
              <w:left w:val="nil"/>
              <w:bottom w:val="single" w:sz="4" w:space="0" w:color="auto"/>
              <w:right w:val="nil"/>
            </w:tcBorders>
            <w:shd w:val="clear" w:color="auto" w:fill="auto"/>
            <w:noWrap/>
            <w:vAlign w:val="center"/>
            <w:hideMark/>
          </w:tcPr>
          <w:p w14:paraId="047D37B4" w14:textId="77777777" w:rsidR="0006008E" w:rsidRPr="0006008E" w:rsidRDefault="0006008E" w:rsidP="0006008E">
            <w:pPr>
              <w:spacing w:line="240" w:lineRule="auto"/>
              <w:jc w:val="center"/>
              <w:rPr>
                <w:rFonts w:cs="Arial"/>
                <w:color w:val="000000"/>
                <w:sz w:val="22"/>
                <w:szCs w:val="22"/>
                <w:lang w:bidi="ar-SA"/>
              </w:rPr>
            </w:pPr>
            <w:r w:rsidRPr="0006008E">
              <w:rPr>
                <w:rFonts w:cs="Arial"/>
                <w:color w:val="000000"/>
                <w:sz w:val="22"/>
                <w:szCs w:val="22"/>
                <w:lang w:bidi="ar-SA"/>
              </w:rPr>
              <w:t>100</w:t>
            </w:r>
          </w:p>
        </w:tc>
      </w:tr>
    </w:tbl>
    <w:p w14:paraId="4036DAB5" w14:textId="5B671433" w:rsidR="00E60903" w:rsidRDefault="0006008E" w:rsidP="00423F3B">
      <w:pPr>
        <w:jc w:val="left"/>
        <w:rPr>
          <w:lang w:val="de-DE"/>
        </w:rPr>
      </w:pPr>
      <w:r>
        <w:rPr>
          <w:lang w:val="de-DE"/>
        </w:rPr>
        <w:t>N=2.390</w:t>
      </w:r>
    </w:p>
    <w:p w14:paraId="5CD41E9E" w14:textId="77777777" w:rsidR="006A7D81" w:rsidRDefault="006A7D81">
      <w:pPr>
        <w:spacing w:line="240" w:lineRule="auto"/>
        <w:jc w:val="left"/>
        <w:rPr>
          <w:rFonts w:cs="Arial"/>
          <w:bCs/>
          <w:iCs/>
          <w:szCs w:val="28"/>
          <w:lang w:val="de-DE"/>
        </w:rPr>
      </w:pPr>
      <w:r>
        <w:rPr>
          <w:lang w:val="de-DE"/>
        </w:rPr>
        <w:br w:type="page"/>
      </w:r>
    </w:p>
    <w:p w14:paraId="2BA521D4" w14:textId="708942C9" w:rsidR="00E72FA3" w:rsidRDefault="007E75E3" w:rsidP="00423F3B">
      <w:pPr>
        <w:pStyle w:val="berschrift2"/>
        <w:jc w:val="left"/>
        <w:rPr>
          <w:lang w:val="de-DE"/>
        </w:rPr>
      </w:pPr>
      <w:r>
        <w:rPr>
          <w:lang w:val="de-DE"/>
        </w:rPr>
        <w:lastRenderedPageBreak/>
        <w:t xml:space="preserve">Grundsätzliche Einstellungen zur </w:t>
      </w:r>
      <w:r w:rsidR="008E0965">
        <w:rPr>
          <w:lang w:val="de-DE"/>
        </w:rPr>
        <w:t>(Doppel)</w:t>
      </w:r>
      <w:r>
        <w:rPr>
          <w:lang w:val="de-DE"/>
        </w:rPr>
        <w:t>Staatsbürgerschaft</w:t>
      </w:r>
      <w:r w:rsidR="001E2EF3">
        <w:rPr>
          <w:lang w:val="de-DE"/>
        </w:rPr>
        <w:t xml:space="preserve"> (</w:t>
      </w:r>
      <w:r w:rsidR="001E2EF3" w:rsidRPr="001E2EF3">
        <w:rPr>
          <w:highlight w:val="cyan"/>
          <w:lang w:val="de-DE"/>
        </w:rPr>
        <w:t>Q51 bis Q54</w:t>
      </w:r>
      <w:r w:rsidR="001E2EF3">
        <w:rPr>
          <w:lang w:val="de-DE"/>
        </w:rPr>
        <w:t>)</w:t>
      </w:r>
    </w:p>
    <w:p w14:paraId="05DEE0A1" w14:textId="00417F65" w:rsidR="007E75E3" w:rsidRDefault="007E75E3" w:rsidP="00423F3B">
      <w:pPr>
        <w:jc w:val="left"/>
        <w:rPr>
          <w:lang w:val="de-DE"/>
        </w:rPr>
      </w:pPr>
      <w:r>
        <w:rPr>
          <w:lang w:val="de-DE"/>
        </w:rPr>
        <w:t xml:space="preserve">Den Befragten wurde ein Frageblock mit vier Aussagen vorgelegt, zu denen sie auf einer vierstufigen Skala ihre Zustimmung beziehungsweise Ablehnung der jeweiligen Aussage eintragen konnten. </w:t>
      </w:r>
      <w:r w:rsidR="00CF58EE">
        <w:rPr>
          <w:lang w:val="de-DE"/>
        </w:rPr>
        <w:t xml:space="preserve">Die Ergebnisse sind in </w:t>
      </w:r>
      <w:r w:rsidR="00CF58EE" w:rsidRPr="00CF58EE">
        <w:rPr>
          <w:u w:val="single"/>
          <w:lang w:val="de-DE"/>
        </w:rPr>
        <w:t xml:space="preserve">Tabelle </w:t>
      </w:r>
      <w:r w:rsidR="006A5BA4">
        <w:rPr>
          <w:u w:val="single"/>
          <w:lang w:val="de-DE"/>
        </w:rPr>
        <w:t>4</w:t>
      </w:r>
      <w:r w:rsidR="00CF58EE">
        <w:rPr>
          <w:lang w:val="de-DE"/>
        </w:rPr>
        <w:t xml:space="preserve"> </w:t>
      </w:r>
      <w:r w:rsidR="006A5BA4">
        <w:rPr>
          <w:lang w:val="de-DE"/>
        </w:rPr>
        <w:t>enthalten</w:t>
      </w:r>
      <w:r w:rsidR="00CF58EE">
        <w:rPr>
          <w:lang w:val="de-DE"/>
        </w:rPr>
        <w:t xml:space="preserve">. </w:t>
      </w:r>
      <w:r>
        <w:rPr>
          <w:lang w:val="de-DE"/>
        </w:rPr>
        <w:t>Es zeigt sich, dass ein Großteil der Befragten eine positive Einstell</w:t>
      </w:r>
      <w:r w:rsidR="008E0965">
        <w:rPr>
          <w:lang w:val="de-DE"/>
        </w:rPr>
        <w:t>ung zur (Do</w:t>
      </w:r>
      <w:r w:rsidR="008E0965">
        <w:rPr>
          <w:lang w:val="de-DE"/>
        </w:rPr>
        <w:t>p</w:t>
      </w:r>
      <w:r w:rsidR="008E0965">
        <w:rPr>
          <w:lang w:val="de-DE"/>
        </w:rPr>
        <w:t>pel)S</w:t>
      </w:r>
      <w:r>
        <w:rPr>
          <w:lang w:val="de-DE"/>
        </w:rPr>
        <w:t xml:space="preserve">taatsbürgerschaft hat. </w:t>
      </w:r>
      <w:r w:rsidR="00570EF7">
        <w:rPr>
          <w:lang w:val="de-DE"/>
        </w:rPr>
        <w:t>90</w:t>
      </w:r>
      <w:r w:rsidR="00430BB5">
        <w:rPr>
          <w:lang w:val="de-DE"/>
        </w:rPr>
        <w:t>% der Befragten sind überzeugt, dass die Staatsbü</w:t>
      </w:r>
      <w:r w:rsidR="00430BB5">
        <w:rPr>
          <w:lang w:val="de-DE"/>
        </w:rPr>
        <w:t>r</w:t>
      </w:r>
      <w:r w:rsidR="00430BB5">
        <w:rPr>
          <w:lang w:val="de-DE"/>
        </w:rPr>
        <w:t xml:space="preserve">gerschaft ein wichtiges Zeichen der Zugehörigkeit zu einem Land ist. </w:t>
      </w:r>
      <w:r>
        <w:rPr>
          <w:lang w:val="de-DE"/>
        </w:rPr>
        <w:t xml:space="preserve">Zwei Drittel </w:t>
      </w:r>
      <w:r w:rsidR="00570EF7">
        <w:rPr>
          <w:lang w:val="de-DE"/>
        </w:rPr>
        <w:t>(65</w:t>
      </w:r>
      <w:r>
        <w:rPr>
          <w:lang w:val="de-DE"/>
        </w:rPr>
        <w:t xml:space="preserve">%) finden, dass die Staatsbürgerschaft auch dann wichtig ist, wenn man in einem Land unbehindert arbeiten und leben kann. </w:t>
      </w:r>
      <w:r w:rsidR="00430BB5">
        <w:rPr>
          <w:lang w:val="de-DE"/>
        </w:rPr>
        <w:t xml:space="preserve">Außerdem denken </w:t>
      </w:r>
      <w:r w:rsidR="00570EF7">
        <w:rPr>
          <w:lang w:val="de-DE"/>
        </w:rPr>
        <w:t>89</w:t>
      </w:r>
      <w:r>
        <w:rPr>
          <w:lang w:val="de-DE"/>
        </w:rPr>
        <w:t xml:space="preserve">% der Befragten, dass Österreicherinnen und Österreichern, die schon länger im Ausland leben, der Zugang zu einer Doppelstaatsbürgerschaft erleichtert werden soll. </w:t>
      </w:r>
      <w:r w:rsidR="00570EF7">
        <w:rPr>
          <w:lang w:val="de-DE"/>
        </w:rPr>
        <w:t>86</w:t>
      </w:r>
      <w:r w:rsidR="00430BB5">
        <w:rPr>
          <w:lang w:val="de-DE"/>
        </w:rPr>
        <w:t xml:space="preserve">% der Befragten lehnen ein grundsätzliches Verbot von Doppelstaatsbürgerschaften ab. </w:t>
      </w:r>
    </w:p>
    <w:p w14:paraId="5F2EE4AC" w14:textId="2507802A" w:rsidR="006A5BA4" w:rsidRDefault="006A5BA4" w:rsidP="00423F3B">
      <w:pPr>
        <w:jc w:val="left"/>
        <w:rPr>
          <w:lang w:val="de-DE"/>
        </w:rPr>
      </w:pPr>
    </w:p>
    <w:p w14:paraId="2BCC9164" w14:textId="61F283C4" w:rsidR="006A5BA4" w:rsidRDefault="006A5BA4" w:rsidP="00423F3B">
      <w:pPr>
        <w:jc w:val="left"/>
        <w:rPr>
          <w:lang w:val="de-DE"/>
        </w:rPr>
      </w:pPr>
    </w:p>
    <w:p w14:paraId="6E5C97C2" w14:textId="3B67C8CB" w:rsidR="006A5BA4" w:rsidRDefault="006A5BA4" w:rsidP="006A5BA4">
      <w:pPr>
        <w:jc w:val="left"/>
        <w:rPr>
          <w:lang w:val="de-DE"/>
        </w:rPr>
      </w:pPr>
      <w:r w:rsidRPr="00CF58EE">
        <w:rPr>
          <w:u w:val="single"/>
          <w:lang w:bidi="ar-SA"/>
        </w:rPr>
        <w:t xml:space="preserve">Tabelle </w:t>
      </w:r>
      <w:r>
        <w:rPr>
          <w:u w:val="single"/>
          <w:lang w:bidi="ar-SA"/>
        </w:rPr>
        <w:t>4</w:t>
      </w:r>
      <w:r w:rsidRPr="00CF58EE">
        <w:rPr>
          <w:lang w:bidi="ar-SA"/>
        </w:rPr>
        <w:t>: Einstellungen der Befragten zum Thema (Doppel)Staatsbürgerschaft</w:t>
      </w:r>
      <w:r>
        <w:rPr>
          <w:lang w:bidi="ar-SA"/>
        </w:rPr>
        <w:t xml:space="preserve"> (</w:t>
      </w:r>
      <w:r w:rsidRPr="00CF58EE">
        <w:rPr>
          <w:lang w:bidi="ar-SA"/>
        </w:rPr>
        <w:t>A</w:t>
      </w:r>
      <w:r w:rsidRPr="00CF58EE">
        <w:rPr>
          <w:lang w:bidi="ar-SA"/>
        </w:rPr>
        <w:t>n</w:t>
      </w:r>
      <w:r w:rsidRPr="00CF58EE">
        <w:rPr>
          <w:lang w:bidi="ar-SA"/>
        </w:rPr>
        <w:t>gaben in Prozent</w:t>
      </w:r>
      <w:r>
        <w:rPr>
          <w:lang w:bidi="ar-SA"/>
        </w:rPr>
        <w:t>)</w:t>
      </w:r>
    </w:p>
    <w:tbl>
      <w:tblPr>
        <w:tblW w:w="5000" w:type="pct"/>
        <w:tblLayout w:type="fixed"/>
        <w:tblCellMar>
          <w:left w:w="70" w:type="dxa"/>
          <w:right w:w="70" w:type="dxa"/>
        </w:tblCellMar>
        <w:tblLook w:val="04A0" w:firstRow="1" w:lastRow="0" w:firstColumn="1" w:lastColumn="0" w:noHBand="0" w:noVBand="1"/>
      </w:tblPr>
      <w:tblGrid>
        <w:gridCol w:w="5173"/>
        <w:gridCol w:w="807"/>
        <w:gridCol w:w="809"/>
        <w:gridCol w:w="809"/>
        <w:gridCol w:w="809"/>
        <w:gridCol w:w="805"/>
      </w:tblGrid>
      <w:tr w:rsidR="00CF58EE" w:rsidRPr="00355F9F" w14:paraId="5321C046" w14:textId="77777777" w:rsidTr="00CF58EE">
        <w:trPr>
          <w:trHeight w:val="584"/>
        </w:trPr>
        <w:tc>
          <w:tcPr>
            <w:tcW w:w="5000" w:type="pct"/>
            <w:gridSpan w:val="6"/>
            <w:tcBorders>
              <w:top w:val="single" w:sz="4" w:space="0" w:color="auto"/>
              <w:left w:val="nil"/>
            </w:tcBorders>
            <w:shd w:val="clear" w:color="auto" w:fill="auto"/>
            <w:noWrap/>
            <w:vAlign w:val="center"/>
            <w:hideMark/>
          </w:tcPr>
          <w:p w14:paraId="4C1EC2BE" w14:textId="77777777" w:rsidR="00CF58EE" w:rsidRPr="00CF58EE" w:rsidRDefault="00CF58EE" w:rsidP="00C26E0D">
            <w:pPr>
              <w:spacing w:line="240" w:lineRule="auto"/>
              <w:jc w:val="center"/>
              <w:rPr>
                <w:rFonts w:cs="Arial"/>
                <w:b/>
                <w:color w:val="000000"/>
                <w:sz w:val="22"/>
                <w:szCs w:val="22"/>
                <w:lang w:bidi="ar-SA"/>
              </w:rPr>
            </w:pPr>
            <w:r w:rsidRPr="00CF58EE">
              <w:rPr>
                <w:rFonts w:cs="Arial"/>
                <w:b/>
                <w:color w:val="000000"/>
                <w:sz w:val="22"/>
                <w:szCs w:val="22"/>
                <w:lang w:bidi="ar-SA"/>
              </w:rPr>
              <w:t>Einstellungen der Befragten zum Thema (Doppel)Staatsbürgerschaft in %</w:t>
            </w:r>
          </w:p>
        </w:tc>
      </w:tr>
      <w:tr w:rsidR="00CF58EE" w:rsidRPr="00355F9F" w14:paraId="2B24BEEB" w14:textId="77777777" w:rsidTr="00CF58EE">
        <w:trPr>
          <w:trHeight w:val="759"/>
        </w:trPr>
        <w:tc>
          <w:tcPr>
            <w:tcW w:w="2808" w:type="pct"/>
            <w:tcBorders>
              <w:top w:val="nil"/>
              <w:left w:val="nil"/>
              <w:bottom w:val="single" w:sz="4" w:space="0" w:color="auto"/>
            </w:tcBorders>
            <w:shd w:val="clear" w:color="auto" w:fill="auto"/>
            <w:noWrap/>
            <w:vAlign w:val="center"/>
            <w:hideMark/>
          </w:tcPr>
          <w:p w14:paraId="50DA21AF" w14:textId="77777777" w:rsidR="00CF58EE" w:rsidRPr="00355F9F" w:rsidRDefault="00CF58EE" w:rsidP="00C26E0D">
            <w:pPr>
              <w:spacing w:line="240" w:lineRule="auto"/>
              <w:jc w:val="left"/>
              <w:rPr>
                <w:rFonts w:cs="Arial"/>
                <w:color w:val="000000"/>
                <w:sz w:val="20"/>
                <w:szCs w:val="22"/>
                <w:lang w:bidi="ar-SA"/>
              </w:rPr>
            </w:pPr>
          </w:p>
        </w:tc>
        <w:tc>
          <w:tcPr>
            <w:tcW w:w="438" w:type="pct"/>
            <w:tcBorders>
              <w:top w:val="nil"/>
              <w:bottom w:val="single" w:sz="4" w:space="0" w:color="auto"/>
            </w:tcBorders>
            <w:shd w:val="clear" w:color="auto" w:fill="auto"/>
            <w:noWrap/>
            <w:vAlign w:val="center"/>
            <w:hideMark/>
          </w:tcPr>
          <w:p w14:paraId="5B4B11C3"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Sti</w:t>
            </w:r>
            <w:r w:rsidRPr="00355F9F">
              <w:rPr>
                <w:rFonts w:cs="Arial"/>
                <w:color w:val="000000"/>
                <w:sz w:val="20"/>
                <w:szCs w:val="22"/>
                <w:lang w:bidi="ar-SA"/>
              </w:rPr>
              <w:t>m</w:t>
            </w:r>
            <w:r w:rsidRPr="00355F9F">
              <w:rPr>
                <w:rFonts w:cs="Arial"/>
                <w:color w:val="000000"/>
                <w:sz w:val="20"/>
                <w:szCs w:val="22"/>
                <w:lang w:bidi="ar-SA"/>
              </w:rPr>
              <w:t>me sehr zu</w:t>
            </w:r>
          </w:p>
        </w:tc>
        <w:tc>
          <w:tcPr>
            <w:tcW w:w="439" w:type="pct"/>
            <w:tcBorders>
              <w:top w:val="nil"/>
              <w:bottom w:val="single" w:sz="4" w:space="0" w:color="auto"/>
            </w:tcBorders>
            <w:shd w:val="clear" w:color="auto" w:fill="auto"/>
            <w:noWrap/>
            <w:vAlign w:val="center"/>
            <w:hideMark/>
          </w:tcPr>
          <w:p w14:paraId="69F541D9"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Sti</w:t>
            </w:r>
            <w:r w:rsidRPr="00355F9F">
              <w:rPr>
                <w:rFonts w:cs="Arial"/>
                <w:color w:val="000000"/>
                <w:sz w:val="20"/>
                <w:szCs w:val="22"/>
                <w:lang w:bidi="ar-SA"/>
              </w:rPr>
              <w:t>m</w:t>
            </w:r>
            <w:r w:rsidRPr="00355F9F">
              <w:rPr>
                <w:rFonts w:cs="Arial"/>
                <w:color w:val="000000"/>
                <w:sz w:val="20"/>
                <w:szCs w:val="22"/>
                <w:lang w:bidi="ar-SA"/>
              </w:rPr>
              <w:t>me eher zu</w:t>
            </w:r>
          </w:p>
        </w:tc>
        <w:tc>
          <w:tcPr>
            <w:tcW w:w="439" w:type="pct"/>
            <w:tcBorders>
              <w:top w:val="nil"/>
              <w:bottom w:val="single" w:sz="4" w:space="0" w:color="auto"/>
            </w:tcBorders>
            <w:shd w:val="clear" w:color="auto" w:fill="auto"/>
            <w:noWrap/>
            <w:vAlign w:val="center"/>
            <w:hideMark/>
          </w:tcPr>
          <w:p w14:paraId="00EC2423"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Sti</w:t>
            </w:r>
            <w:r w:rsidRPr="00355F9F">
              <w:rPr>
                <w:rFonts w:cs="Arial"/>
                <w:color w:val="000000"/>
                <w:sz w:val="20"/>
                <w:szCs w:val="22"/>
                <w:lang w:bidi="ar-SA"/>
              </w:rPr>
              <w:t>m</w:t>
            </w:r>
            <w:r w:rsidRPr="00355F9F">
              <w:rPr>
                <w:rFonts w:cs="Arial"/>
                <w:color w:val="000000"/>
                <w:sz w:val="20"/>
                <w:szCs w:val="22"/>
                <w:lang w:bidi="ar-SA"/>
              </w:rPr>
              <w:t>me wen</w:t>
            </w:r>
            <w:r w:rsidRPr="00355F9F">
              <w:rPr>
                <w:rFonts w:cs="Arial"/>
                <w:color w:val="000000"/>
                <w:sz w:val="20"/>
                <w:szCs w:val="22"/>
                <w:lang w:bidi="ar-SA"/>
              </w:rPr>
              <w:t>i</w:t>
            </w:r>
            <w:r w:rsidRPr="00355F9F">
              <w:rPr>
                <w:rFonts w:cs="Arial"/>
                <w:color w:val="000000"/>
                <w:sz w:val="20"/>
                <w:szCs w:val="22"/>
                <w:lang w:bidi="ar-SA"/>
              </w:rPr>
              <w:t>ger zu</w:t>
            </w:r>
          </w:p>
        </w:tc>
        <w:tc>
          <w:tcPr>
            <w:tcW w:w="439" w:type="pct"/>
            <w:tcBorders>
              <w:top w:val="nil"/>
              <w:bottom w:val="single" w:sz="4" w:space="0" w:color="auto"/>
              <w:right w:val="nil"/>
            </w:tcBorders>
            <w:shd w:val="clear" w:color="auto" w:fill="auto"/>
            <w:noWrap/>
            <w:vAlign w:val="center"/>
            <w:hideMark/>
          </w:tcPr>
          <w:p w14:paraId="7E330151"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Sti</w:t>
            </w:r>
            <w:r w:rsidRPr="00355F9F">
              <w:rPr>
                <w:rFonts w:cs="Arial"/>
                <w:color w:val="000000"/>
                <w:sz w:val="20"/>
                <w:szCs w:val="22"/>
                <w:lang w:bidi="ar-SA"/>
              </w:rPr>
              <w:t>m</w:t>
            </w:r>
            <w:r w:rsidRPr="00355F9F">
              <w:rPr>
                <w:rFonts w:cs="Arial"/>
                <w:color w:val="000000"/>
                <w:sz w:val="20"/>
                <w:szCs w:val="22"/>
                <w:lang w:bidi="ar-SA"/>
              </w:rPr>
              <w:t>me gar nicht zu</w:t>
            </w:r>
          </w:p>
        </w:tc>
        <w:tc>
          <w:tcPr>
            <w:tcW w:w="437" w:type="pct"/>
            <w:tcBorders>
              <w:top w:val="nil"/>
              <w:bottom w:val="single" w:sz="4" w:space="0" w:color="auto"/>
              <w:right w:val="nil"/>
            </w:tcBorders>
            <w:shd w:val="clear" w:color="auto" w:fill="auto"/>
            <w:vAlign w:val="center"/>
          </w:tcPr>
          <w:p w14:paraId="05C67FE2" w14:textId="77777777" w:rsidR="00CF58EE" w:rsidRPr="00355F9F" w:rsidRDefault="00CF58EE" w:rsidP="00C26E0D">
            <w:pPr>
              <w:spacing w:line="240" w:lineRule="auto"/>
              <w:jc w:val="center"/>
              <w:rPr>
                <w:rFonts w:cs="Arial"/>
                <w:color w:val="000000"/>
                <w:sz w:val="20"/>
                <w:szCs w:val="22"/>
                <w:lang w:bidi="ar-SA"/>
              </w:rPr>
            </w:pPr>
            <w:r>
              <w:rPr>
                <w:rFonts w:cs="Arial"/>
                <w:color w:val="000000"/>
                <w:sz w:val="20"/>
                <w:szCs w:val="22"/>
                <w:lang w:bidi="ar-SA"/>
              </w:rPr>
              <w:t>G</w:t>
            </w:r>
            <w:r>
              <w:rPr>
                <w:rFonts w:cs="Arial"/>
                <w:color w:val="000000"/>
                <w:sz w:val="20"/>
                <w:szCs w:val="22"/>
                <w:lang w:bidi="ar-SA"/>
              </w:rPr>
              <w:t>e</w:t>
            </w:r>
            <w:r>
              <w:rPr>
                <w:rFonts w:cs="Arial"/>
                <w:color w:val="000000"/>
                <w:sz w:val="20"/>
                <w:szCs w:val="22"/>
                <w:lang w:bidi="ar-SA"/>
              </w:rPr>
              <w:t>samt</w:t>
            </w:r>
          </w:p>
        </w:tc>
      </w:tr>
      <w:tr w:rsidR="00CF58EE" w:rsidRPr="00355F9F" w14:paraId="2C1FE0F0" w14:textId="77777777" w:rsidTr="00CF58EE">
        <w:trPr>
          <w:trHeight w:val="759"/>
        </w:trPr>
        <w:tc>
          <w:tcPr>
            <w:tcW w:w="2808" w:type="pct"/>
            <w:tcBorders>
              <w:top w:val="single" w:sz="4" w:space="0" w:color="auto"/>
              <w:left w:val="nil"/>
              <w:bottom w:val="single" w:sz="4" w:space="0" w:color="auto"/>
            </w:tcBorders>
            <w:shd w:val="clear" w:color="auto" w:fill="auto"/>
            <w:noWrap/>
            <w:vAlign w:val="center"/>
            <w:hideMark/>
          </w:tcPr>
          <w:p w14:paraId="3BBD1197" w14:textId="77777777" w:rsidR="00CF58EE" w:rsidRPr="00355F9F" w:rsidRDefault="00CF58EE" w:rsidP="00C26E0D">
            <w:pPr>
              <w:spacing w:line="240" w:lineRule="auto"/>
              <w:jc w:val="left"/>
              <w:rPr>
                <w:rFonts w:cs="Arial"/>
                <w:color w:val="000000"/>
                <w:sz w:val="20"/>
                <w:szCs w:val="22"/>
                <w:lang w:bidi="ar-SA"/>
              </w:rPr>
            </w:pPr>
            <w:r w:rsidRPr="00355F9F">
              <w:rPr>
                <w:rFonts w:cs="Arial"/>
                <w:color w:val="000000"/>
                <w:sz w:val="20"/>
                <w:szCs w:val="22"/>
                <w:lang w:bidi="ar-SA"/>
              </w:rPr>
              <w:t>Man sollte nicht gleichzeitig zwei Staaten angehören; Doppelstaatsbürgerschaften sollten grundsätzlich verb</w:t>
            </w:r>
            <w:r w:rsidRPr="00355F9F">
              <w:rPr>
                <w:rFonts w:cs="Arial"/>
                <w:color w:val="000000"/>
                <w:sz w:val="20"/>
                <w:szCs w:val="22"/>
                <w:lang w:bidi="ar-SA"/>
              </w:rPr>
              <w:t>o</w:t>
            </w:r>
            <w:r w:rsidRPr="00355F9F">
              <w:rPr>
                <w:rFonts w:cs="Arial"/>
                <w:color w:val="000000"/>
                <w:sz w:val="20"/>
                <w:szCs w:val="22"/>
                <w:lang w:bidi="ar-SA"/>
              </w:rPr>
              <w:t>ten werden</w:t>
            </w:r>
          </w:p>
        </w:tc>
        <w:tc>
          <w:tcPr>
            <w:tcW w:w="438" w:type="pct"/>
            <w:tcBorders>
              <w:top w:val="single" w:sz="4" w:space="0" w:color="auto"/>
              <w:bottom w:val="single" w:sz="4" w:space="0" w:color="auto"/>
            </w:tcBorders>
            <w:shd w:val="clear" w:color="auto" w:fill="auto"/>
            <w:noWrap/>
            <w:vAlign w:val="center"/>
            <w:hideMark/>
          </w:tcPr>
          <w:p w14:paraId="5F58ADFD"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7</w:t>
            </w:r>
          </w:p>
        </w:tc>
        <w:tc>
          <w:tcPr>
            <w:tcW w:w="439" w:type="pct"/>
            <w:tcBorders>
              <w:top w:val="single" w:sz="4" w:space="0" w:color="auto"/>
              <w:bottom w:val="single" w:sz="4" w:space="0" w:color="auto"/>
            </w:tcBorders>
            <w:shd w:val="clear" w:color="auto" w:fill="auto"/>
            <w:noWrap/>
            <w:vAlign w:val="center"/>
            <w:hideMark/>
          </w:tcPr>
          <w:p w14:paraId="68179E78"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7</w:t>
            </w:r>
          </w:p>
        </w:tc>
        <w:tc>
          <w:tcPr>
            <w:tcW w:w="439" w:type="pct"/>
            <w:tcBorders>
              <w:top w:val="single" w:sz="4" w:space="0" w:color="auto"/>
              <w:bottom w:val="single" w:sz="4" w:space="0" w:color="auto"/>
            </w:tcBorders>
            <w:shd w:val="clear" w:color="auto" w:fill="auto"/>
            <w:noWrap/>
            <w:vAlign w:val="center"/>
            <w:hideMark/>
          </w:tcPr>
          <w:p w14:paraId="6D276072"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15</w:t>
            </w:r>
          </w:p>
        </w:tc>
        <w:tc>
          <w:tcPr>
            <w:tcW w:w="439" w:type="pct"/>
            <w:tcBorders>
              <w:top w:val="single" w:sz="4" w:space="0" w:color="auto"/>
              <w:bottom w:val="single" w:sz="4" w:space="0" w:color="auto"/>
            </w:tcBorders>
            <w:shd w:val="clear" w:color="auto" w:fill="auto"/>
            <w:noWrap/>
            <w:vAlign w:val="center"/>
            <w:hideMark/>
          </w:tcPr>
          <w:p w14:paraId="1AABE31D"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70</w:t>
            </w:r>
          </w:p>
        </w:tc>
        <w:tc>
          <w:tcPr>
            <w:tcW w:w="437" w:type="pct"/>
            <w:tcBorders>
              <w:top w:val="single" w:sz="4" w:space="0" w:color="auto"/>
              <w:bottom w:val="single" w:sz="4" w:space="0" w:color="auto"/>
              <w:right w:val="nil"/>
            </w:tcBorders>
            <w:shd w:val="clear" w:color="auto" w:fill="auto"/>
            <w:noWrap/>
            <w:vAlign w:val="center"/>
            <w:hideMark/>
          </w:tcPr>
          <w:p w14:paraId="4F348003"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100</w:t>
            </w:r>
          </w:p>
        </w:tc>
      </w:tr>
      <w:tr w:rsidR="00CF58EE" w:rsidRPr="00355F9F" w14:paraId="2722C966" w14:textId="77777777" w:rsidTr="00CF58EE">
        <w:trPr>
          <w:trHeight w:val="759"/>
        </w:trPr>
        <w:tc>
          <w:tcPr>
            <w:tcW w:w="2808" w:type="pct"/>
            <w:tcBorders>
              <w:top w:val="single" w:sz="4" w:space="0" w:color="auto"/>
              <w:left w:val="nil"/>
              <w:bottom w:val="single" w:sz="4" w:space="0" w:color="auto"/>
            </w:tcBorders>
            <w:shd w:val="clear" w:color="auto" w:fill="auto"/>
            <w:noWrap/>
            <w:vAlign w:val="center"/>
            <w:hideMark/>
          </w:tcPr>
          <w:p w14:paraId="5E05159A" w14:textId="77777777" w:rsidR="00CF58EE" w:rsidRPr="00355F9F" w:rsidRDefault="00CF58EE" w:rsidP="00C26E0D">
            <w:pPr>
              <w:spacing w:line="240" w:lineRule="auto"/>
              <w:jc w:val="left"/>
              <w:rPr>
                <w:rFonts w:cs="Arial"/>
                <w:color w:val="000000"/>
                <w:sz w:val="20"/>
                <w:szCs w:val="22"/>
                <w:lang w:bidi="ar-SA"/>
              </w:rPr>
            </w:pPr>
            <w:r w:rsidRPr="00355F9F">
              <w:rPr>
                <w:rFonts w:cs="Arial"/>
                <w:color w:val="000000"/>
                <w:sz w:val="20"/>
                <w:szCs w:val="22"/>
                <w:lang w:bidi="ar-SA"/>
              </w:rPr>
              <w:t>Die Staatsbürgerschaft ist nicht wichtig; Hauptsache ist, man kann in einem Land unbehindert arbeiten und leben</w:t>
            </w:r>
          </w:p>
        </w:tc>
        <w:tc>
          <w:tcPr>
            <w:tcW w:w="438" w:type="pct"/>
            <w:tcBorders>
              <w:top w:val="single" w:sz="4" w:space="0" w:color="auto"/>
              <w:bottom w:val="single" w:sz="4" w:space="0" w:color="auto"/>
            </w:tcBorders>
            <w:shd w:val="clear" w:color="auto" w:fill="auto"/>
            <w:noWrap/>
            <w:vAlign w:val="center"/>
            <w:hideMark/>
          </w:tcPr>
          <w:p w14:paraId="041A9A8D"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12</w:t>
            </w:r>
          </w:p>
        </w:tc>
        <w:tc>
          <w:tcPr>
            <w:tcW w:w="439" w:type="pct"/>
            <w:tcBorders>
              <w:top w:val="single" w:sz="4" w:space="0" w:color="auto"/>
              <w:bottom w:val="single" w:sz="4" w:space="0" w:color="auto"/>
            </w:tcBorders>
            <w:shd w:val="clear" w:color="auto" w:fill="auto"/>
            <w:noWrap/>
            <w:vAlign w:val="center"/>
            <w:hideMark/>
          </w:tcPr>
          <w:p w14:paraId="0BA7D264"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24</w:t>
            </w:r>
          </w:p>
        </w:tc>
        <w:tc>
          <w:tcPr>
            <w:tcW w:w="439" w:type="pct"/>
            <w:tcBorders>
              <w:top w:val="single" w:sz="4" w:space="0" w:color="auto"/>
              <w:bottom w:val="single" w:sz="4" w:space="0" w:color="auto"/>
            </w:tcBorders>
            <w:shd w:val="clear" w:color="auto" w:fill="auto"/>
            <w:noWrap/>
            <w:vAlign w:val="center"/>
            <w:hideMark/>
          </w:tcPr>
          <w:p w14:paraId="403EFE86"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32</w:t>
            </w:r>
          </w:p>
        </w:tc>
        <w:tc>
          <w:tcPr>
            <w:tcW w:w="439" w:type="pct"/>
            <w:tcBorders>
              <w:top w:val="single" w:sz="4" w:space="0" w:color="auto"/>
              <w:bottom w:val="single" w:sz="4" w:space="0" w:color="auto"/>
            </w:tcBorders>
            <w:shd w:val="clear" w:color="auto" w:fill="auto"/>
            <w:noWrap/>
            <w:vAlign w:val="center"/>
            <w:hideMark/>
          </w:tcPr>
          <w:p w14:paraId="4BB73D5C"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33</w:t>
            </w:r>
          </w:p>
        </w:tc>
        <w:tc>
          <w:tcPr>
            <w:tcW w:w="437" w:type="pct"/>
            <w:tcBorders>
              <w:top w:val="single" w:sz="4" w:space="0" w:color="auto"/>
              <w:bottom w:val="single" w:sz="4" w:space="0" w:color="auto"/>
              <w:right w:val="nil"/>
            </w:tcBorders>
            <w:shd w:val="clear" w:color="auto" w:fill="auto"/>
            <w:noWrap/>
            <w:vAlign w:val="center"/>
            <w:hideMark/>
          </w:tcPr>
          <w:p w14:paraId="4FB9D4BA"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100</w:t>
            </w:r>
          </w:p>
        </w:tc>
      </w:tr>
      <w:tr w:rsidR="00CF58EE" w:rsidRPr="00355F9F" w14:paraId="72FC53F6" w14:textId="77777777" w:rsidTr="00CF58EE">
        <w:trPr>
          <w:trHeight w:val="759"/>
        </w:trPr>
        <w:tc>
          <w:tcPr>
            <w:tcW w:w="2808" w:type="pct"/>
            <w:tcBorders>
              <w:top w:val="single" w:sz="4" w:space="0" w:color="auto"/>
              <w:left w:val="nil"/>
              <w:bottom w:val="single" w:sz="4" w:space="0" w:color="auto"/>
            </w:tcBorders>
            <w:shd w:val="clear" w:color="auto" w:fill="auto"/>
            <w:noWrap/>
            <w:vAlign w:val="center"/>
            <w:hideMark/>
          </w:tcPr>
          <w:p w14:paraId="7C95221F" w14:textId="77777777" w:rsidR="00CF58EE" w:rsidRPr="00355F9F" w:rsidRDefault="00CF58EE" w:rsidP="00C26E0D">
            <w:pPr>
              <w:spacing w:line="240" w:lineRule="auto"/>
              <w:jc w:val="left"/>
              <w:rPr>
                <w:rFonts w:cs="Arial"/>
                <w:color w:val="000000"/>
                <w:sz w:val="20"/>
                <w:szCs w:val="22"/>
                <w:lang w:bidi="ar-SA"/>
              </w:rPr>
            </w:pPr>
            <w:r w:rsidRPr="00355F9F">
              <w:rPr>
                <w:rFonts w:cs="Arial"/>
                <w:color w:val="000000"/>
                <w:sz w:val="20"/>
                <w:szCs w:val="22"/>
                <w:lang w:bidi="ar-SA"/>
              </w:rPr>
              <w:t>Österreichern, die schon länger im Ausland leben, sollte der Zugang zu einer Doppel-Staatsbürgerschaft erleic</w:t>
            </w:r>
            <w:r w:rsidRPr="00355F9F">
              <w:rPr>
                <w:rFonts w:cs="Arial"/>
                <w:color w:val="000000"/>
                <w:sz w:val="20"/>
                <w:szCs w:val="22"/>
                <w:lang w:bidi="ar-SA"/>
              </w:rPr>
              <w:t>h</w:t>
            </w:r>
            <w:r w:rsidRPr="00355F9F">
              <w:rPr>
                <w:rFonts w:cs="Arial"/>
                <w:color w:val="000000"/>
                <w:sz w:val="20"/>
                <w:szCs w:val="22"/>
                <w:lang w:bidi="ar-SA"/>
              </w:rPr>
              <w:t>tert werden</w:t>
            </w:r>
          </w:p>
        </w:tc>
        <w:tc>
          <w:tcPr>
            <w:tcW w:w="438" w:type="pct"/>
            <w:tcBorders>
              <w:top w:val="single" w:sz="4" w:space="0" w:color="auto"/>
              <w:bottom w:val="single" w:sz="4" w:space="0" w:color="auto"/>
            </w:tcBorders>
            <w:shd w:val="clear" w:color="auto" w:fill="auto"/>
            <w:noWrap/>
            <w:vAlign w:val="center"/>
            <w:hideMark/>
          </w:tcPr>
          <w:p w14:paraId="004AF7D3"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72</w:t>
            </w:r>
          </w:p>
        </w:tc>
        <w:tc>
          <w:tcPr>
            <w:tcW w:w="439" w:type="pct"/>
            <w:tcBorders>
              <w:top w:val="single" w:sz="4" w:space="0" w:color="auto"/>
              <w:bottom w:val="single" w:sz="4" w:space="0" w:color="auto"/>
            </w:tcBorders>
            <w:shd w:val="clear" w:color="auto" w:fill="auto"/>
            <w:noWrap/>
            <w:vAlign w:val="center"/>
            <w:hideMark/>
          </w:tcPr>
          <w:p w14:paraId="5712172B"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17</w:t>
            </w:r>
          </w:p>
        </w:tc>
        <w:tc>
          <w:tcPr>
            <w:tcW w:w="439" w:type="pct"/>
            <w:tcBorders>
              <w:top w:val="single" w:sz="4" w:space="0" w:color="auto"/>
              <w:bottom w:val="single" w:sz="4" w:space="0" w:color="auto"/>
            </w:tcBorders>
            <w:shd w:val="clear" w:color="auto" w:fill="auto"/>
            <w:noWrap/>
            <w:vAlign w:val="center"/>
            <w:hideMark/>
          </w:tcPr>
          <w:p w14:paraId="6C0FAB54"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7</w:t>
            </w:r>
          </w:p>
        </w:tc>
        <w:tc>
          <w:tcPr>
            <w:tcW w:w="439" w:type="pct"/>
            <w:tcBorders>
              <w:top w:val="single" w:sz="4" w:space="0" w:color="auto"/>
              <w:bottom w:val="single" w:sz="4" w:space="0" w:color="auto"/>
            </w:tcBorders>
            <w:shd w:val="clear" w:color="auto" w:fill="auto"/>
            <w:noWrap/>
            <w:vAlign w:val="center"/>
            <w:hideMark/>
          </w:tcPr>
          <w:p w14:paraId="302CB485"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5</w:t>
            </w:r>
          </w:p>
        </w:tc>
        <w:tc>
          <w:tcPr>
            <w:tcW w:w="437" w:type="pct"/>
            <w:tcBorders>
              <w:top w:val="single" w:sz="4" w:space="0" w:color="auto"/>
              <w:bottom w:val="single" w:sz="4" w:space="0" w:color="auto"/>
              <w:right w:val="nil"/>
            </w:tcBorders>
            <w:shd w:val="clear" w:color="auto" w:fill="auto"/>
            <w:noWrap/>
            <w:vAlign w:val="center"/>
            <w:hideMark/>
          </w:tcPr>
          <w:p w14:paraId="3E1627A9"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100</w:t>
            </w:r>
          </w:p>
        </w:tc>
      </w:tr>
      <w:tr w:rsidR="00CF58EE" w:rsidRPr="00355F9F" w14:paraId="73C6B09D" w14:textId="77777777" w:rsidTr="00CF58EE">
        <w:trPr>
          <w:trHeight w:val="759"/>
        </w:trPr>
        <w:tc>
          <w:tcPr>
            <w:tcW w:w="2808" w:type="pct"/>
            <w:tcBorders>
              <w:top w:val="single" w:sz="4" w:space="0" w:color="auto"/>
              <w:left w:val="nil"/>
              <w:bottom w:val="single" w:sz="4" w:space="0" w:color="auto"/>
            </w:tcBorders>
            <w:shd w:val="clear" w:color="auto" w:fill="auto"/>
            <w:noWrap/>
            <w:vAlign w:val="center"/>
            <w:hideMark/>
          </w:tcPr>
          <w:p w14:paraId="552DEED7" w14:textId="77777777" w:rsidR="00CF58EE" w:rsidRPr="00355F9F" w:rsidRDefault="00CF58EE" w:rsidP="00C26E0D">
            <w:pPr>
              <w:spacing w:line="240" w:lineRule="auto"/>
              <w:jc w:val="left"/>
              <w:rPr>
                <w:rFonts w:cs="Arial"/>
                <w:color w:val="000000"/>
                <w:sz w:val="20"/>
                <w:szCs w:val="22"/>
                <w:lang w:bidi="ar-SA"/>
              </w:rPr>
            </w:pPr>
            <w:r w:rsidRPr="00355F9F">
              <w:rPr>
                <w:rFonts w:cs="Arial"/>
                <w:color w:val="000000"/>
                <w:sz w:val="20"/>
                <w:szCs w:val="22"/>
                <w:lang w:bidi="ar-SA"/>
              </w:rPr>
              <w:t>Die Staatsbürgerschaft ist ein wichtiges Zeichen der Zugehörigkeit zu einem Land</w:t>
            </w:r>
          </w:p>
        </w:tc>
        <w:tc>
          <w:tcPr>
            <w:tcW w:w="438" w:type="pct"/>
            <w:tcBorders>
              <w:top w:val="single" w:sz="4" w:space="0" w:color="auto"/>
              <w:bottom w:val="single" w:sz="4" w:space="0" w:color="auto"/>
            </w:tcBorders>
            <w:shd w:val="clear" w:color="auto" w:fill="auto"/>
            <w:noWrap/>
            <w:vAlign w:val="center"/>
            <w:hideMark/>
          </w:tcPr>
          <w:p w14:paraId="5E308C4A"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60</w:t>
            </w:r>
          </w:p>
        </w:tc>
        <w:tc>
          <w:tcPr>
            <w:tcW w:w="439" w:type="pct"/>
            <w:tcBorders>
              <w:top w:val="single" w:sz="4" w:space="0" w:color="auto"/>
              <w:bottom w:val="single" w:sz="4" w:space="0" w:color="auto"/>
            </w:tcBorders>
            <w:shd w:val="clear" w:color="auto" w:fill="auto"/>
            <w:noWrap/>
            <w:vAlign w:val="center"/>
            <w:hideMark/>
          </w:tcPr>
          <w:p w14:paraId="0782D917"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30</w:t>
            </w:r>
          </w:p>
        </w:tc>
        <w:tc>
          <w:tcPr>
            <w:tcW w:w="439" w:type="pct"/>
            <w:tcBorders>
              <w:top w:val="single" w:sz="4" w:space="0" w:color="auto"/>
              <w:bottom w:val="single" w:sz="4" w:space="0" w:color="auto"/>
            </w:tcBorders>
            <w:shd w:val="clear" w:color="auto" w:fill="auto"/>
            <w:noWrap/>
            <w:vAlign w:val="center"/>
            <w:hideMark/>
          </w:tcPr>
          <w:p w14:paraId="41CEF18A"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8</w:t>
            </w:r>
          </w:p>
        </w:tc>
        <w:tc>
          <w:tcPr>
            <w:tcW w:w="439" w:type="pct"/>
            <w:tcBorders>
              <w:top w:val="single" w:sz="4" w:space="0" w:color="auto"/>
              <w:bottom w:val="single" w:sz="4" w:space="0" w:color="auto"/>
            </w:tcBorders>
            <w:shd w:val="clear" w:color="auto" w:fill="auto"/>
            <w:noWrap/>
            <w:vAlign w:val="center"/>
            <w:hideMark/>
          </w:tcPr>
          <w:p w14:paraId="3B151F16"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2</w:t>
            </w:r>
          </w:p>
        </w:tc>
        <w:tc>
          <w:tcPr>
            <w:tcW w:w="437" w:type="pct"/>
            <w:tcBorders>
              <w:top w:val="single" w:sz="4" w:space="0" w:color="auto"/>
              <w:bottom w:val="single" w:sz="4" w:space="0" w:color="auto"/>
              <w:right w:val="nil"/>
            </w:tcBorders>
            <w:shd w:val="clear" w:color="auto" w:fill="auto"/>
            <w:noWrap/>
            <w:vAlign w:val="center"/>
            <w:hideMark/>
          </w:tcPr>
          <w:p w14:paraId="345674AC" w14:textId="77777777" w:rsidR="00CF58EE" w:rsidRPr="00355F9F" w:rsidRDefault="00CF58EE" w:rsidP="00C26E0D">
            <w:pPr>
              <w:spacing w:line="240" w:lineRule="auto"/>
              <w:jc w:val="center"/>
              <w:rPr>
                <w:rFonts w:cs="Arial"/>
                <w:color w:val="000000"/>
                <w:sz w:val="20"/>
                <w:szCs w:val="22"/>
                <w:lang w:bidi="ar-SA"/>
              </w:rPr>
            </w:pPr>
            <w:r w:rsidRPr="00355F9F">
              <w:rPr>
                <w:rFonts w:cs="Arial"/>
                <w:color w:val="000000"/>
                <w:sz w:val="20"/>
                <w:szCs w:val="22"/>
                <w:lang w:bidi="ar-SA"/>
              </w:rPr>
              <w:t>100</w:t>
            </w:r>
          </w:p>
        </w:tc>
      </w:tr>
    </w:tbl>
    <w:p w14:paraId="2A343DA8" w14:textId="19E23DF5" w:rsidR="00CF58EE" w:rsidRDefault="00CF58EE" w:rsidP="00CF58EE">
      <w:pPr>
        <w:spacing w:before="240"/>
        <w:rPr>
          <w:lang w:val="de-DE"/>
        </w:rPr>
      </w:pPr>
      <w:r w:rsidRPr="00CF58EE">
        <w:rPr>
          <w:lang w:bidi="ar-SA"/>
        </w:rPr>
        <w:t>N=2.369 bis 2.381</w:t>
      </w:r>
    </w:p>
    <w:p w14:paraId="698FC8FF" w14:textId="77777777" w:rsidR="00CF58EE" w:rsidRDefault="00CF58EE" w:rsidP="00423F3B">
      <w:pPr>
        <w:jc w:val="left"/>
        <w:rPr>
          <w:lang w:val="de-DE"/>
        </w:rPr>
      </w:pPr>
    </w:p>
    <w:p w14:paraId="02EBC6B6" w14:textId="596E449E" w:rsidR="00787D6C" w:rsidRDefault="00430BB5" w:rsidP="00423F3B">
      <w:pPr>
        <w:jc w:val="left"/>
        <w:rPr>
          <w:lang w:val="de-DE"/>
        </w:rPr>
      </w:pPr>
      <w:r>
        <w:rPr>
          <w:lang w:val="de-DE"/>
        </w:rPr>
        <w:t xml:space="preserve">Unterschiede in Bezug auf die Einstellungen lassen sich vor allem hinsichtlich der Region und der Dauer des Auslandsaufenthalts feststellen. </w:t>
      </w:r>
      <w:r w:rsidR="006B794C">
        <w:rPr>
          <w:lang w:val="de-DE"/>
        </w:rPr>
        <w:t>Die positivste Einstellung gegenüber (Doppel)Staatsbürgerschaften findet sich bei der Gruppe der in Austral</w:t>
      </w:r>
      <w:r w:rsidR="006B794C">
        <w:rPr>
          <w:lang w:val="de-DE"/>
        </w:rPr>
        <w:t>i</w:t>
      </w:r>
      <w:r w:rsidR="006B794C">
        <w:rPr>
          <w:lang w:val="de-DE"/>
        </w:rPr>
        <w:t xml:space="preserve">en-Ozeanien und Nordamerika lebenden Personen. </w:t>
      </w:r>
      <w:r w:rsidR="00CE05D6">
        <w:rPr>
          <w:lang w:val="de-DE"/>
        </w:rPr>
        <w:t xml:space="preserve">Am anderen Ende der Skala, </w:t>
      </w:r>
      <w:r w:rsidR="00CE05D6">
        <w:rPr>
          <w:lang w:val="de-DE"/>
        </w:rPr>
        <w:lastRenderedPageBreak/>
        <w:t xml:space="preserve">jedoch immer noch mit einer prinzipiell positiven Einstellung, stehen die in Afrika, Zentralamerika und im Fernen Osten lebenden Personen. Die Befragten in Europa, Südamerika und dem Mittleren Osten stehen zwischen diesen beiden Polen. </w:t>
      </w:r>
      <w:r w:rsidR="00CF58EE">
        <w:rPr>
          <w:lang w:val="de-DE"/>
        </w:rPr>
        <w:t>Die U</w:t>
      </w:r>
      <w:r w:rsidR="00CF58EE">
        <w:rPr>
          <w:lang w:val="de-DE"/>
        </w:rPr>
        <w:t>n</w:t>
      </w:r>
      <w:r w:rsidR="00CF58EE">
        <w:rPr>
          <w:lang w:val="de-DE"/>
        </w:rPr>
        <w:t xml:space="preserve">terschiede sind in </w:t>
      </w:r>
      <w:r w:rsidR="00CF58EE" w:rsidRPr="00CF58EE">
        <w:rPr>
          <w:u w:val="single"/>
          <w:lang w:val="de-DE"/>
        </w:rPr>
        <w:t xml:space="preserve">Abbildung </w:t>
      </w:r>
      <w:r w:rsidR="007176E9">
        <w:rPr>
          <w:u w:val="single"/>
          <w:lang w:val="de-DE"/>
        </w:rPr>
        <w:t>3</w:t>
      </w:r>
      <w:r w:rsidR="00CF58EE">
        <w:rPr>
          <w:lang w:val="de-DE"/>
        </w:rPr>
        <w:t xml:space="preserve"> exemplarisch an der Zustimmung zum erleichterten Zugang zur Doppelstaatsbürgerschaft für Auslandsösterreicherinnen und Auslands</w:t>
      </w:r>
      <w:r w:rsidR="00CF58EE">
        <w:rPr>
          <w:lang w:val="de-DE"/>
        </w:rPr>
        <w:t>ö</w:t>
      </w:r>
      <w:r w:rsidR="00CF58EE">
        <w:rPr>
          <w:lang w:val="de-DE"/>
        </w:rPr>
        <w:t>sterreicher dargestellt. Interessant sind die unterschiedlichen Einstellungen der B</w:t>
      </w:r>
      <w:r w:rsidR="00CF58EE">
        <w:rPr>
          <w:lang w:val="de-DE"/>
        </w:rPr>
        <w:t>e</w:t>
      </w:r>
      <w:r w:rsidR="00CF58EE">
        <w:rPr>
          <w:lang w:val="de-DE"/>
        </w:rPr>
        <w:t xml:space="preserve">fragten innerhalb Europas, je nachdem, ob das Land EU-Mitglied ist oder nicht. Auch hier </w:t>
      </w:r>
      <w:r w:rsidR="00A2020B">
        <w:rPr>
          <w:lang w:val="de-DE"/>
        </w:rPr>
        <w:t xml:space="preserve">bricht Großbritannien aus dem Muster aus. </w:t>
      </w:r>
    </w:p>
    <w:p w14:paraId="7C38F236" w14:textId="77777777" w:rsidR="006A5BA4" w:rsidRDefault="006A5BA4" w:rsidP="00423F3B">
      <w:pPr>
        <w:jc w:val="left"/>
        <w:rPr>
          <w:lang w:val="de-DE"/>
        </w:rPr>
      </w:pPr>
    </w:p>
    <w:p w14:paraId="50F3976B" w14:textId="77777777" w:rsidR="004E4B3D" w:rsidRDefault="004E4B3D" w:rsidP="00423F3B">
      <w:pPr>
        <w:jc w:val="left"/>
        <w:rPr>
          <w:lang w:val="de-DE"/>
        </w:rPr>
      </w:pPr>
    </w:p>
    <w:p w14:paraId="13B4EA5B" w14:textId="7A705C16" w:rsidR="006A5BA4" w:rsidRDefault="006A5BA4" w:rsidP="00423F3B">
      <w:pPr>
        <w:jc w:val="left"/>
        <w:rPr>
          <w:lang w:val="de-DE"/>
        </w:rPr>
      </w:pPr>
      <w:r w:rsidRPr="007902DA">
        <w:rPr>
          <w:u w:val="single"/>
          <w:lang w:val="de-DE"/>
        </w:rPr>
        <w:t xml:space="preserve">Abbildung </w:t>
      </w:r>
      <w:r w:rsidR="0031278D">
        <w:rPr>
          <w:u w:val="single"/>
          <w:lang w:val="de-DE"/>
        </w:rPr>
        <w:t>3</w:t>
      </w:r>
      <w:r w:rsidRPr="007902DA">
        <w:rPr>
          <w:lang w:val="de-DE"/>
        </w:rPr>
        <w:t xml:space="preserve">: </w:t>
      </w:r>
      <w:r>
        <w:rPr>
          <w:lang w:val="de-DE"/>
        </w:rPr>
        <w:t>Prozentanteile</w:t>
      </w:r>
      <w:r w:rsidRPr="007902DA">
        <w:rPr>
          <w:lang w:val="de-DE"/>
        </w:rPr>
        <w:t xml:space="preserve"> der Befragten, die auf die Aussage „Österreicher, die schon länger im Ausland leben, sollte der Zugang zu einer Doppelstaatsbürgerschaft erleichtert werden“ mit „Stimme sehr zu“ geantwortet haben. </w:t>
      </w:r>
    </w:p>
    <w:p w14:paraId="7E18DC5C" w14:textId="77777777" w:rsidR="006A5BA4" w:rsidRDefault="006A5BA4" w:rsidP="00423F3B">
      <w:pPr>
        <w:jc w:val="left"/>
        <w:rPr>
          <w:lang w:val="de-DE"/>
        </w:rPr>
      </w:pPr>
    </w:p>
    <w:p w14:paraId="7BCF1C34" w14:textId="67CBE249" w:rsidR="00787D6C" w:rsidRDefault="00787D6C" w:rsidP="00423F3B">
      <w:pPr>
        <w:jc w:val="left"/>
        <w:rPr>
          <w:lang w:val="de-DE"/>
        </w:rPr>
      </w:pPr>
      <w:r>
        <w:rPr>
          <w:noProof/>
          <w:lang w:bidi="ar-SA"/>
        </w:rPr>
        <w:drawing>
          <wp:inline distT="0" distB="0" distL="0" distR="0" wp14:anchorId="39469427" wp14:editId="5A9D6B30">
            <wp:extent cx="5762847" cy="3211033"/>
            <wp:effectExtent l="0" t="0" r="0" b="889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79EEC6" w14:textId="62C45393" w:rsidR="00787D6C" w:rsidRDefault="00787D6C" w:rsidP="007902DA">
      <w:pPr>
        <w:spacing w:before="240"/>
        <w:jc w:val="left"/>
        <w:rPr>
          <w:lang w:val="de-DE"/>
        </w:rPr>
      </w:pPr>
      <w:r w:rsidRPr="007902DA">
        <w:rPr>
          <w:lang w:val="de-DE"/>
        </w:rPr>
        <w:t>N=2</w:t>
      </w:r>
      <w:r w:rsidR="007902DA" w:rsidRPr="007902DA">
        <w:rPr>
          <w:lang w:val="de-DE"/>
        </w:rPr>
        <w:t>.</w:t>
      </w:r>
      <w:r w:rsidRPr="007902DA">
        <w:rPr>
          <w:lang w:val="de-DE"/>
        </w:rPr>
        <w:t>381</w:t>
      </w:r>
    </w:p>
    <w:p w14:paraId="2E461574" w14:textId="77777777" w:rsidR="007902DA" w:rsidRDefault="007902DA" w:rsidP="00423F3B">
      <w:pPr>
        <w:jc w:val="left"/>
        <w:rPr>
          <w:lang w:val="de-DE"/>
        </w:rPr>
      </w:pPr>
    </w:p>
    <w:p w14:paraId="67A9CEBD" w14:textId="7861AAA7" w:rsidR="00430BB5" w:rsidRDefault="0029758A" w:rsidP="00423F3B">
      <w:pPr>
        <w:jc w:val="left"/>
        <w:rPr>
          <w:lang w:val="de-DE"/>
        </w:rPr>
      </w:pPr>
      <w:r>
        <w:rPr>
          <w:lang w:val="de-DE"/>
        </w:rPr>
        <w:t xml:space="preserve">Bezüglich der Dauer </w:t>
      </w:r>
      <w:r w:rsidR="006B794C">
        <w:rPr>
          <w:lang w:val="de-DE"/>
        </w:rPr>
        <w:t xml:space="preserve">des Auslandsaufenthalts </w:t>
      </w:r>
      <w:r>
        <w:rPr>
          <w:lang w:val="de-DE"/>
        </w:rPr>
        <w:t>lässt sich ein U-förmiger Zusamme</w:t>
      </w:r>
      <w:r>
        <w:rPr>
          <w:lang w:val="de-DE"/>
        </w:rPr>
        <w:t>n</w:t>
      </w:r>
      <w:r>
        <w:rPr>
          <w:lang w:val="de-DE"/>
        </w:rPr>
        <w:t>hang konstatieren: Personen, die zwischen 11 und 20 Jahren im Ausland leben, st</w:t>
      </w:r>
      <w:r>
        <w:rPr>
          <w:lang w:val="de-DE"/>
        </w:rPr>
        <w:t>e</w:t>
      </w:r>
      <w:r>
        <w:rPr>
          <w:lang w:val="de-DE"/>
        </w:rPr>
        <w:t>hen der (Doppel)Staatsbürgerschaft positiver gegenüber als jene Personen, die kü</w:t>
      </w:r>
      <w:r>
        <w:rPr>
          <w:lang w:val="de-DE"/>
        </w:rPr>
        <w:t>r</w:t>
      </w:r>
      <w:r>
        <w:rPr>
          <w:lang w:val="de-DE"/>
        </w:rPr>
        <w:t xml:space="preserve">zer oder schon länger im Ausland verweilen. </w:t>
      </w:r>
    </w:p>
    <w:p w14:paraId="66FAD576" w14:textId="30DF456B" w:rsidR="006B794C" w:rsidRDefault="00D139EB" w:rsidP="00423F3B">
      <w:pPr>
        <w:jc w:val="left"/>
        <w:rPr>
          <w:lang w:val="de-DE"/>
        </w:rPr>
      </w:pPr>
      <w:r>
        <w:rPr>
          <w:lang w:val="de-DE"/>
        </w:rPr>
        <w:lastRenderedPageBreak/>
        <w:t xml:space="preserve">Auch das Alter der Befragten spielt eine Rolle. </w:t>
      </w:r>
      <w:r w:rsidR="001E2EF3">
        <w:rPr>
          <w:lang w:val="de-DE"/>
        </w:rPr>
        <w:t xml:space="preserve">Jüngere Personen haben tendenziell eine positivere Einstellung zur (Doppel)Staatsbürgerschaft als ältere. </w:t>
      </w:r>
    </w:p>
    <w:p w14:paraId="2113AD97" w14:textId="77777777" w:rsidR="006A5BA4" w:rsidRDefault="00902156" w:rsidP="00423F3B">
      <w:pPr>
        <w:jc w:val="left"/>
        <w:rPr>
          <w:lang w:val="de-DE"/>
        </w:rPr>
      </w:pPr>
      <w:r>
        <w:rPr>
          <w:lang w:val="de-DE"/>
        </w:rPr>
        <w:t>Hinsichtlich des Geschlechts zeigen sich interessanterweise keine Unterschiede b</w:t>
      </w:r>
      <w:r>
        <w:rPr>
          <w:lang w:val="de-DE"/>
        </w:rPr>
        <w:t>e</w:t>
      </w:r>
      <w:r>
        <w:rPr>
          <w:lang w:val="de-DE"/>
        </w:rPr>
        <w:t>züglich der Einstellung gegenüber der Staatsbürgerschaft, sehr wohl aber bezüglich der Doppelstaatsbürgerschaft. Diese wird von den Männern deutlich stärker befü</w:t>
      </w:r>
      <w:r>
        <w:rPr>
          <w:lang w:val="de-DE"/>
        </w:rPr>
        <w:t>r</w:t>
      </w:r>
      <w:r>
        <w:rPr>
          <w:lang w:val="de-DE"/>
        </w:rPr>
        <w:t xml:space="preserve">wortet als von den Frauen. </w:t>
      </w:r>
    </w:p>
    <w:p w14:paraId="28F79E5C" w14:textId="476FA4D7" w:rsidR="00902156" w:rsidRDefault="00525579" w:rsidP="00423F3B">
      <w:pPr>
        <w:jc w:val="left"/>
        <w:rPr>
          <w:lang w:val="de-DE"/>
        </w:rPr>
      </w:pPr>
      <w:r>
        <w:rPr>
          <w:lang w:val="de-DE"/>
        </w:rPr>
        <w:t>Dasselbe Phänomen findet sich bei der Überprüfung nach Bildungsabschlüssen: B</w:t>
      </w:r>
      <w:r>
        <w:rPr>
          <w:lang w:val="de-DE"/>
        </w:rPr>
        <w:t>e</w:t>
      </w:r>
      <w:r>
        <w:rPr>
          <w:lang w:val="de-DE"/>
        </w:rPr>
        <w:t xml:space="preserve">sonders die Absolventinnen und Absolventen einer Hochschule </w:t>
      </w:r>
      <w:r w:rsidR="00E97292">
        <w:rPr>
          <w:lang w:val="de-DE"/>
        </w:rPr>
        <w:t xml:space="preserve">sind gegenüber der Doppelstaatsbürgerschaft positiver </w:t>
      </w:r>
      <w:r w:rsidR="007902DA">
        <w:rPr>
          <w:lang w:val="de-DE"/>
        </w:rPr>
        <w:t>eingestellt</w:t>
      </w:r>
      <w:r w:rsidR="00E97292">
        <w:rPr>
          <w:lang w:val="de-DE"/>
        </w:rPr>
        <w:t xml:space="preserve"> als Personen mit formal niedrigerem Bildungsabschluss. Hinsichtlich der </w:t>
      </w:r>
      <w:r w:rsidR="007902DA">
        <w:rPr>
          <w:lang w:val="de-DE"/>
        </w:rPr>
        <w:t>Haltung</w:t>
      </w:r>
      <w:r w:rsidR="00E97292">
        <w:rPr>
          <w:lang w:val="de-DE"/>
        </w:rPr>
        <w:t xml:space="preserve"> gegenüber der </w:t>
      </w:r>
      <w:r w:rsidR="007902DA">
        <w:rPr>
          <w:lang w:val="de-DE"/>
        </w:rPr>
        <w:t>(</w:t>
      </w:r>
      <w:r w:rsidR="00E97292">
        <w:rPr>
          <w:lang w:val="de-DE"/>
        </w:rPr>
        <w:t>normalen</w:t>
      </w:r>
      <w:r w:rsidR="007902DA">
        <w:rPr>
          <w:lang w:val="de-DE"/>
        </w:rPr>
        <w:t>)</w:t>
      </w:r>
      <w:r w:rsidR="00E97292">
        <w:rPr>
          <w:lang w:val="de-DE"/>
        </w:rPr>
        <w:t xml:space="preserve"> Staatsbürge</w:t>
      </w:r>
      <w:r w:rsidR="00E97292">
        <w:rPr>
          <w:lang w:val="de-DE"/>
        </w:rPr>
        <w:t>r</w:t>
      </w:r>
      <w:r w:rsidR="00E97292">
        <w:rPr>
          <w:lang w:val="de-DE"/>
        </w:rPr>
        <w:t xml:space="preserve">schaft lassen sich wiederum keine Differenzen feststellen. </w:t>
      </w:r>
    </w:p>
    <w:p w14:paraId="2B6DA26D" w14:textId="77777777" w:rsidR="00B562D4" w:rsidRDefault="00B562D4" w:rsidP="00423F3B">
      <w:pPr>
        <w:jc w:val="left"/>
        <w:rPr>
          <w:lang w:val="de-DE"/>
        </w:rPr>
      </w:pPr>
    </w:p>
    <w:p w14:paraId="27FCF74E" w14:textId="43F96194" w:rsidR="00B562D4" w:rsidRDefault="00B562D4" w:rsidP="00423F3B">
      <w:pPr>
        <w:pStyle w:val="berschrift2"/>
        <w:jc w:val="left"/>
        <w:rPr>
          <w:lang w:val="de-DE"/>
        </w:rPr>
      </w:pPr>
      <w:r>
        <w:rPr>
          <w:lang w:val="de-DE"/>
        </w:rPr>
        <w:t>Absichten der Befragten hinsichtlich ihrer Staatsbürgerschaft</w:t>
      </w:r>
      <w:r w:rsidR="00912B5F">
        <w:rPr>
          <w:lang w:val="de-DE"/>
        </w:rPr>
        <w:t xml:space="preserve"> (</w:t>
      </w:r>
      <w:r w:rsidR="00912B5F" w:rsidRPr="00912B5F">
        <w:rPr>
          <w:highlight w:val="cyan"/>
          <w:lang w:val="de-DE"/>
        </w:rPr>
        <w:t>Q6 bis 14</w:t>
      </w:r>
      <w:r w:rsidR="00912B5F">
        <w:rPr>
          <w:lang w:val="de-DE"/>
        </w:rPr>
        <w:t>)</w:t>
      </w:r>
    </w:p>
    <w:p w14:paraId="63EE7F1A" w14:textId="0AF73966" w:rsidR="00B562D4" w:rsidRDefault="00B562D4" w:rsidP="00423F3B">
      <w:pPr>
        <w:jc w:val="left"/>
        <w:rPr>
          <w:lang w:val="de-DE"/>
        </w:rPr>
      </w:pPr>
      <w:r>
        <w:rPr>
          <w:lang w:val="de-DE"/>
        </w:rPr>
        <w:t xml:space="preserve">Die Teilnehmerinnen und Teilnehmer der Umfrage wurden gefragt, welche konkreten Absichten sie in Hinsicht auf ihre eigene Staatsbürgerschaft haben. </w:t>
      </w:r>
    </w:p>
    <w:p w14:paraId="4961B2BB" w14:textId="77777777" w:rsidR="006A5BA4" w:rsidRDefault="006A5BA4" w:rsidP="00423F3B">
      <w:pPr>
        <w:jc w:val="left"/>
        <w:rPr>
          <w:lang w:val="de-DE"/>
        </w:rPr>
      </w:pPr>
    </w:p>
    <w:p w14:paraId="1027A02F" w14:textId="359967CB" w:rsidR="006A5BA4" w:rsidRDefault="007039BF" w:rsidP="007902DA">
      <w:pPr>
        <w:jc w:val="left"/>
        <w:rPr>
          <w:lang w:val="de-DE"/>
        </w:rPr>
      </w:pPr>
      <w:r w:rsidRPr="007039BF">
        <w:rPr>
          <w:highlight w:val="cyan"/>
          <w:lang w:val="de-DE"/>
        </w:rPr>
        <w:t>Q6:</w:t>
      </w:r>
      <w:r>
        <w:rPr>
          <w:lang w:val="de-DE"/>
        </w:rPr>
        <w:t xml:space="preserve"> </w:t>
      </w:r>
      <w:r w:rsidR="00B562D4">
        <w:rPr>
          <w:lang w:val="de-DE"/>
        </w:rPr>
        <w:t>Die Frage, ob sie grundsätzlich daran interessiert sind, die Staatsbürgerschaft ihres derzeitigen Aufenthaltslandes zu erwerben, bejahte</w:t>
      </w:r>
      <w:r w:rsidR="00570EF7">
        <w:rPr>
          <w:lang w:val="de-DE"/>
        </w:rPr>
        <w:t>n</w:t>
      </w:r>
      <w:r w:rsidR="00B562D4">
        <w:rPr>
          <w:lang w:val="de-DE"/>
        </w:rPr>
        <w:t xml:space="preserve"> </w:t>
      </w:r>
      <w:r w:rsidR="00570EF7">
        <w:rPr>
          <w:lang w:val="de-DE"/>
        </w:rPr>
        <w:t>zwei Drittel</w:t>
      </w:r>
      <w:r w:rsidR="00B562D4">
        <w:rPr>
          <w:lang w:val="de-DE"/>
        </w:rPr>
        <w:t xml:space="preserve"> der Befrag</w:t>
      </w:r>
      <w:r w:rsidR="00570EF7">
        <w:rPr>
          <w:lang w:val="de-DE"/>
        </w:rPr>
        <w:t>ten (65</w:t>
      </w:r>
      <w:r w:rsidR="00B562D4">
        <w:rPr>
          <w:lang w:val="de-DE"/>
        </w:rPr>
        <w:t>%), allerdings nur unter der Bedingung, dass sie die österreichische Staatsbü</w:t>
      </w:r>
      <w:r w:rsidR="00B562D4">
        <w:rPr>
          <w:lang w:val="de-DE"/>
        </w:rPr>
        <w:t>r</w:t>
      </w:r>
      <w:r w:rsidR="00B562D4">
        <w:rPr>
          <w:lang w:val="de-DE"/>
        </w:rPr>
        <w:t>gerschafts behalten können</w:t>
      </w:r>
      <w:r w:rsidR="006A5BA4">
        <w:rPr>
          <w:lang w:val="de-DE"/>
        </w:rPr>
        <w:t xml:space="preserve"> (</w:t>
      </w:r>
      <w:r w:rsidR="006A5BA4" w:rsidRPr="006A5BA4">
        <w:rPr>
          <w:u w:val="single"/>
          <w:lang w:val="de-DE"/>
        </w:rPr>
        <w:t>Tabelle 5</w:t>
      </w:r>
      <w:r w:rsidR="006A5BA4">
        <w:rPr>
          <w:lang w:val="de-DE"/>
        </w:rPr>
        <w:t>)</w:t>
      </w:r>
      <w:r w:rsidR="00570EF7">
        <w:rPr>
          <w:lang w:val="de-DE"/>
        </w:rPr>
        <w:t>. Nur 3</w:t>
      </w:r>
      <w:r w:rsidR="00B562D4">
        <w:rPr>
          <w:lang w:val="de-DE"/>
        </w:rPr>
        <w:t xml:space="preserve">% der Befragten wäre bereit, auf die österreichische Staatsbürgerschaft zu verzichten, um </w:t>
      </w:r>
      <w:r w:rsidR="00DA5822">
        <w:rPr>
          <w:lang w:val="de-DE"/>
        </w:rPr>
        <w:t>die</w:t>
      </w:r>
      <w:r w:rsidR="00B562D4">
        <w:rPr>
          <w:lang w:val="de-DE"/>
        </w:rPr>
        <w:t xml:space="preserve"> neue</w:t>
      </w:r>
      <w:r w:rsidR="00DA5822">
        <w:rPr>
          <w:lang w:val="de-DE"/>
        </w:rPr>
        <w:t xml:space="preserve"> Staatsbürgerschaft</w:t>
      </w:r>
      <w:r w:rsidR="00B562D4">
        <w:rPr>
          <w:lang w:val="de-DE"/>
        </w:rPr>
        <w:t xml:space="preserve"> zu erhalten. </w:t>
      </w:r>
      <w:r w:rsidR="00DA5822">
        <w:rPr>
          <w:lang w:val="de-DE"/>
        </w:rPr>
        <w:t>Beinahe</w:t>
      </w:r>
      <w:r w:rsidR="00570EF7">
        <w:rPr>
          <w:lang w:val="de-DE"/>
        </w:rPr>
        <w:t xml:space="preserve"> ein Viertel der Befragten (21</w:t>
      </w:r>
      <w:r w:rsidR="00DA5822">
        <w:rPr>
          <w:lang w:val="de-DE"/>
        </w:rPr>
        <w:t xml:space="preserve">%) ist nicht daran interessiert, die Staatsbürgerschaft ihres derzeitigen Aufenthaltslandes zu erwerben. </w:t>
      </w:r>
    </w:p>
    <w:p w14:paraId="301A94C2" w14:textId="77777777" w:rsidR="006A5BA4" w:rsidRDefault="006A5BA4" w:rsidP="007902DA">
      <w:pPr>
        <w:jc w:val="left"/>
        <w:rPr>
          <w:lang w:val="de-DE"/>
        </w:rPr>
      </w:pPr>
    </w:p>
    <w:p w14:paraId="4B1A049B" w14:textId="77777777" w:rsidR="006A7D81" w:rsidRDefault="007902DA" w:rsidP="006A7D81">
      <w:pPr>
        <w:jc w:val="left"/>
        <w:rPr>
          <w:lang w:val="de-DE"/>
        </w:rPr>
      </w:pPr>
      <w:r>
        <w:rPr>
          <w:lang w:val="de-DE"/>
        </w:rPr>
        <w:t xml:space="preserve">In </w:t>
      </w:r>
      <w:r w:rsidR="007176E9">
        <w:rPr>
          <w:u w:val="single"/>
          <w:lang w:val="de-DE"/>
        </w:rPr>
        <w:t>Tabelle 5</w:t>
      </w:r>
      <w:r>
        <w:rPr>
          <w:lang w:val="de-DE"/>
        </w:rPr>
        <w:t xml:space="preserve"> ist zu sehen, dass s</w:t>
      </w:r>
      <w:r w:rsidR="00EC449E">
        <w:rPr>
          <w:lang w:val="de-DE"/>
        </w:rPr>
        <w:t>ich in mehrerlei Hinsicht Unterschiede zwischen den Befragten</w:t>
      </w:r>
      <w:r>
        <w:rPr>
          <w:lang w:val="de-DE"/>
        </w:rPr>
        <w:t xml:space="preserve"> zeigen</w:t>
      </w:r>
      <w:r w:rsidR="00EC449E">
        <w:rPr>
          <w:lang w:val="de-DE"/>
        </w:rPr>
        <w:t>: So manifestiert sich der zuvor schon aufgetauchte U-förmige Z</w:t>
      </w:r>
      <w:r w:rsidR="00EC449E">
        <w:rPr>
          <w:lang w:val="de-DE"/>
        </w:rPr>
        <w:t>u</w:t>
      </w:r>
      <w:r w:rsidR="00EC449E">
        <w:rPr>
          <w:lang w:val="de-DE"/>
        </w:rPr>
        <w:t>sammenhang bei der Dauer des Auslandsaufenthalts erneut. Personen, die seit 11 bis 20 Jahren im Gastland leben, sind im Gegensatz zu den Personen mit kürzerer oder längerer Aufenthaltsdauer eher bestrebt, die Staatsbürgerschaft des Gastlandes zu erwerben, jedoch steht bei diesen Personen besonders die Bedingung im Vorde</w:t>
      </w:r>
      <w:r w:rsidR="00EC449E">
        <w:rPr>
          <w:lang w:val="de-DE"/>
        </w:rPr>
        <w:t>r</w:t>
      </w:r>
      <w:r w:rsidR="00EC449E">
        <w:rPr>
          <w:lang w:val="de-DE"/>
        </w:rPr>
        <w:t>grund, dass sie trotzdem die österreichische Staatsbürgerschaft behalten können. Von den Personen, die weniger als 20 Jahre ihres Lebens in Österreich gelebt h</w:t>
      </w:r>
      <w:r w:rsidR="00EC449E">
        <w:rPr>
          <w:lang w:val="de-DE"/>
        </w:rPr>
        <w:t>a</w:t>
      </w:r>
      <w:r w:rsidR="00EC449E">
        <w:rPr>
          <w:lang w:val="de-DE"/>
        </w:rPr>
        <w:t>ben, ist ein größerer Anteil nicht daran interessiert, die Staatsbürgerschaft des Gas</w:t>
      </w:r>
      <w:r w:rsidR="00EC449E">
        <w:rPr>
          <w:lang w:val="de-DE"/>
        </w:rPr>
        <w:t>t</w:t>
      </w:r>
      <w:r w:rsidR="00EC449E">
        <w:rPr>
          <w:lang w:val="de-DE"/>
        </w:rPr>
        <w:t xml:space="preserve">landes zu erwerben, als von den Personen, die mehr Zeit ihres Lebens in Österreich </w:t>
      </w:r>
      <w:r w:rsidR="00EC449E">
        <w:rPr>
          <w:lang w:val="de-DE"/>
        </w:rPr>
        <w:lastRenderedPageBreak/>
        <w:t xml:space="preserve">gelebt haben. </w:t>
      </w:r>
      <w:r w:rsidR="006A7D81">
        <w:rPr>
          <w:lang w:val="de-DE"/>
        </w:rPr>
        <w:t>Bezüglich des Bildungsabschlusses grenzen sich die Hochschulabso</w:t>
      </w:r>
      <w:r w:rsidR="006A7D81">
        <w:rPr>
          <w:lang w:val="de-DE"/>
        </w:rPr>
        <w:t>l</w:t>
      </w:r>
      <w:r w:rsidR="006A7D81">
        <w:rPr>
          <w:lang w:val="de-DE"/>
        </w:rPr>
        <w:t>ventinnen und -absolventen von Personen mit niedrigerem Bildungsabschluss dadurch ab, dass sie eher interessiert sind, die Staatsbürgerschaft des Gastlandes zu erwerben, allerdings wieder nur unter der Bedingung, dass sie die österreichische Staatsbürgerschaft behalten können. Beim Geschlechtervergleich zeigt sich das gle</w:t>
      </w:r>
      <w:r w:rsidR="006A7D81">
        <w:rPr>
          <w:lang w:val="de-DE"/>
        </w:rPr>
        <w:t>i</w:t>
      </w:r>
      <w:r w:rsidR="006A7D81">
        <w:rPr>
          <w:lang w:val="de-DE"/>
        </w:rPr>
        <w:t>che Muster, hier sind Frauen eher bereit als Männer, die Staatsbürgerschaft des Au</w:t>
      </w:r>
      <w:r w:rsidR="006A7D81">
        <w:rPr>
          <w:lang w:val="de-DE"/>
        </w:rPr>
        <w:t>f</w:t>
      </w:r>
      <w:r w:rsidR="006A7D81">
        <w:rPr>
          <w:lang w:val="de-DE"/>
        </w:rPr>
        <w:t>enthaltslandes zu e</w:t>
      </w:r>
      <w:r w:rsidR="006A7D81">
        <w:rPr>
          <w:lang w:val="de-DE"/>
        </w:rPr>
        <w:t>r</w:t>
      </w:r>
      <w:r w:rsidR="006A7D81">
        <w:rPr>
          <w:lang w:val="de-DE"/>
        </w:rPr>
        <w:t>werben – wenn sie dafür die österreichische Staatsbürgerschaft behalten können. Die Über-55-Jährigen sind im Gegensatz zu den jüngeren Befra</w:t>
      </w:r>
      <w:r w:rsidR="006A7D81">
        <w:rPr>
          <w:lang w:val="de-DE"/>
        </w:rPr>
        <w:t>g</w:t>
      </w:r>
      <w:r w:rsidR="006A7D81">
        <w:rPr>
          <w:lang w:val="de-DE"/>
        </w:rPr>
        <w:t xml:space="preserve">ten weniger bereit, die Staatsbürgerschaft des Gastlandes anzunehmen. </w:t>
      </w:r>
    </w:p>
    <w:p w14:paraId="79B64066" w14:textId="347B5676" w:rsidR="002B1075" w:rsidRDefault="002B1075" w:rsidP="007902DA">
      <w:pPr>
        <w:jc w:val="left"/>
        <w:rPr>
          <w:lang w:val="de-DE"/>
        </w:rPr>
      </w:pPr>
    </w:p>
    <w:p w14:paraId="3E71461B" w14:textId="77777777" w:rsidR="004E4B3D" w:rsidRDefault="004E4B3D" w:rsidP="007902DA">
      <w:pPr>
        <w:jc w:val="left"/>
        <w:rPr>
          <w:lang w:val="de-DE"/>
        </w:rPr>
      </w:pPr>
    </w:p>
    <w:p w14:paraId="49ACC866" w14:textId="4D677B5B" w:rsidR="0031278D" w:rsidRDefault="0031278D" w:rsidP="004E4B3D">
      <w:pPr>
        <w:spacing w:before="240"/>
        <w:jc w:val="left"/>
        <w:rPr>
          <w:lang w:val="de-DE"/>
        </w:rPr>
      </w:pPr>
      <w:r w:rsidRPr="007902DA">
        <w:rPr>
          <w:u w:val="single"/>
          <w:lang w:val="de-DE"/>
        </w:rPr>
        <w:t xml:space="preserve">Tabelle </w:t>
      </w:r>
      <w:r>
        <w:rPr>
          <w:u w:val="single"/>
          <w:lang w:val="de-DE"/>
        </w:rPr>
        <w:t>5</w:t>
      </w:r>
      <w:r w:rsidRPr="007902DA">
        <w:rPr>
          <w:lang w:val="de-DE"/>
        </w:rPr>
        <w:t xml:space="preserve">: Bereitschaft zur Annahme der Staatsbürgerschaft des Gastlandes für die Befragten inklusive Unterschiede nach </w:t>
      </w:r>
      <w:r>
        <w:rPr>
          <w:lang w:val="de-DE"/>
        </w:rPr>
        <w:t>A</w:t>
      </w:r>
      <w:r w:rsidRPr="007902DA">
        <w:rPr>
          <w:lang w:val="de-DE"/>
        </w:rPr>
        <w:t>ufenthalts</w:t>
      </w:r>
      <w:r>
        <w:rPr>
          <w:lang w:val="de-DE"/>
        </w:rPr>
        <w:t>land bzw. -</w:t>
      </w:r>
      <w:r w:rsidRPr="007902DA">
        <w:rPr>
          <w:lang w:val="de-DE"/>
        </w:rPr>
        <w:t>region</w:t>
      </w:r>
      <w:r>
        <w:rPr>
          <w:lang w:val="de-DE"/>
        </w:rPr>
        <w:t xml:space="preserve"> (</w:t>
      </w:r>
      <w:r w:rsidRPr="007902DA">
        <w:rPr>
          <w:lang w:val="de-DE"/>
        </w:rPr>
        <w:t>Angaben in Prozent</w:t>
      </w:r>
      <w:r w:rsidR="004E4B3D">
        <w:rPr>
          <w:lang w:val="de-DE"/>
        </w:rPr>
        <w:t>)</w:t>
      </w:r>
    </w:p>
    <w:tbl>
      <w:tblPr>
        <w:tblW w:w="5000" w:type="pct"/>
        <w:tblLayout w:type="fixed"/>
        <w:tblCellMar>
          <w:left w:w="70" w:type="dxa"/>
          <w:right w:w="70" w:type="dxa"/>
        </w:tblCellMar>
        <w:tblLook w:val="04A0" w:firstRow="1" w:lastRow="0" w:firstColumn="1" w:lastColumn="0" w:noHBand="0" w:noVBand="1"/>
      </w:tblPr>
      <w:tblGrid>
        <w:gridCol w:w="1152"/>
        <w:gridCol w:w="2751"/>
        <w:gridCol w:w="1061"/>
        <w:gridCol w:w="1063"/>
        <w:gridCol w:w="1061"/>
        <w:gridCol w:w="1063"/>
        <w:gridCol w:w="1061"/>
      </w:tblGrid>
      <w:tr w:rsidR="0031278D" w:rsidRPr="0068091B" w14:paraId="43C70DB7" w14:textId="77777777" w:rsidTr="00570EF7">
        <w:trPr>
          <w:trHeight w:val="285"/>
        </w:trPr>
        <w:tc>
          <w:tcPr>
            <w:tcW w:w="5000" w:type="pct"/>
            <w:gridSpan w:val="7"/>
            <w:tcBorders>
              <w:top w:val="single" w:sz="4" w:space="0" w:color="auto"/>
              <w:left w:val="nil"/>
              <w:bottom w:val="single" w:sz="4" w:space="0" w:color="auto"/>
              <w:right w:val="nil"/>
            </w:tcBorders>
            <w:shd w:val="clear" w:color="auto" w:fill="auto"/>
            <w:noWrap/>
            <w:vAlign w:val="bottom"/>
          </w:tcPr>
          <w:p w14:paraId="0490D84F" w14:textId="77777777" w:rsidR="0031278D" w:rsidRPr="00C26E0D" w:rsidRDefault="0031278D" w:rsidP="00570EF7">
            <w:pPr>
              <w:spacing w:line="240" w:lineRule="auto"/>
              <w:jc w:val="center"/>
              <w:rPr>
                <w:rFonts w:cs="Arial"/>
                <w:b/>
                <w:color w:val="000000"/>
                <w:sz w:val="22"/>
                <w:szCs w:val="22"/>
                <w:lang w:bidi="ar-SA"/>
              </w:rPr>
            </w:pPr>
            <w:r w:rsidRPr="00C26E0D">
              <w:rPr>
                <w:b/>
                <w:lang w:val="de-DE"/>
              </w:rPr>
              <w:t>Bereitschaft zur Annahme der Staatsbürgerschaft des Gastlandes in %</w:t>
            </w:r>
          </w:p>
        </w:tc>
      </w:tr>
      <w:tr w:rsidR="0031278D" w:rsidRPr="0068091B" w14:paraId="54905797" w14:textId="77777777" w:rsidTr="00570EF7">
        <w:trPr>
          <w:trHeight w:val="285"/>
        </w:trPr>
        <w:tc>
          <w:tcPr>
            <w:tcW w:w="625" w:type="pct"/>
            <w:tcBorders>
              <w:top w:val="nil"/>
              <w:left w:val="nil"/>
              <w:bottom w:val="single" w:sz="4" w:space="0" w:color="auto"/>
              <w:right w:val="nil"/>
            </w:tcBorders>
            <w:shd w:val="clear" w:color="auto" w:fill="auto"/>
            <w:noWrap/>
            <w:vAlign w:val="bottom"/>
            <w:hideMark/>
          </w:tcPr>
          <w:p w14:paraId="4665F61A" w14:textId="77777777" w:rsidR="0031278D" w:rsidRPr="0068091B" w:rsidRDefault="0031278D" w:rsidP="00570EF7">
            <w:pPr>
              <w:spacing w:line="240" w:lineRule="auto"/>
              <w:jc w:val="left"/>
              <w:rPr>
                <w:rFonts w:cs="Arial"/>
                <w:color w:val="000000"/>
                <w:sz w:val="22"/>
                <w:szCs w:val="22"/>
                <w:lang w:bidi="ar-SA"/>
              </w:rPr>
            </w:pPr>
          </w:p>
        </w:tc>
        <w:tc>
          <w:tcPr>
            <w:tcW w:w="1493" w:type="pct"/>
            <w:tcBorders>
              <w:top w:val="nil"/>
              <w:left w:val="nil"/>
              <w:bottom w:val="single" w:sz="4" w:space="0" w:color="auto"/>
              <w:right w:val="nil"/>
            </w:tcBorders>
            <w:shd w:val="clear" w:color="auto" w:fill="auto"/>
            <w:noWrap/>
            <w:vAlign w:val="bottom"/>
            <w:hideMark/>
          </w:tcPr>
          <w:p w14:paraId="509F2E5E" w14:textId="77777777" w:rsidR="0031278D" w:rsidRPr="0068091B" w:rsidRDefault="0031278D" w:rsidP="00570EF7">
            <w:pPr>
              <w:spacing w:line="240" w:lineRule="auto"/>
              <w:jc w:val="left"/>
              <w:rPr>
                <w:rFonts w:cs="Arial"/>
                <w:color w:val="000000"/>
                <w:sz w:val="22"/>
                <w:szCs w:val="22"/>
                <w:lang w:bidi="ar-SA"/>
              </w:rPr>
            </w:pPr>
          </w:p>
        </w:tc>
        <w:tc>
          <w:tcPr>
            <w:tcW w:w="576" w:type="pct"/>
            <w:tcBorders>
              <w:top w:val="nil"/>
              <w:left w:val="nil"/>
              <w:bottom w:val="single" w:sz="4" w:space="0" w:color="auto"/>
              <w:right w:val="nil"/>
            </w:tcBorders>
            <w:shd w:val="clear" w:color="auto" w:fill="auto"/>
            <w:noWrap/>
            <w:vAlign w:val="center"/>
            <w:hideMark/>
          </w:tcPr>
          <w:p w14:paraId="05C2ADB5" w14:textId="25FB9012"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Ja</w:t>
            </w:r>
            <w:r>
              <w:rPr>
                <w:rFonts w:cs="Arial"/>
                <w:color w:val="000000"/>
                <w:sz w:val="22"/>
                <w:szCs w:val="22"/>
                <w:lang w:bidi="ar-SA"/>
              </w:rPr>
              <w:t>*</w:t>
            </w:r>
          </w:p>
        </w:tc>
        <w:tc>
          <w:tcPr>
            <w:tcW w:w="577" w:type="pct"/>
            <w:tcBorders>
              <w:top w:val="nil"/>
              <w:left w:val="nil"/>
              <w:bottom w:val="single" w:sz="4" w:space="0" w:color="auto"/>
              <w:right w:val="nil"/>
            </w:tcBorders>
            <w:shd w:val="clear" w:color="auto" w:fill="auto"/>
            <w:noWrap/>
            <w:vAlign w:val="center"/>
            <w:hideMark/>
          </w:tcPr>
          <w:p w14:paraId="188EBF44" w14:textId="22245FCF" w:rsidR="0031278D" w:rsidRPr="0068091B" w:rsidRDefault="0031278D" w:rsidP="002D5CB0">
            <w:pPr>
              <w:spacing w:line="240" w:lineRule="auto"/>
              <w:jc w:val="center"/>
              <w:rPr>
                <w:rFonts w:cs="Arial"/>
                <w:color w:val="000000"/>
                <w:sz w:val="22"/>
                <w:szCs w:val="22"/>
                <w:lang w:bidi="ar-SA"/>
              </w:rPr>
            </w:pPr>
            <w:r w:rsidRPr="0068091B">
              <w:rPr>
                <w:rFonts w:cs="Arial"/>
                <w:color w:val="000000"/>
                <w:sz w:val="22"/>
                <w:szCs w:val="22"/>
                <w:lang w:bidi="ar-SA"/>
              </w:rPr>
              <w:t>Ja, aber</w:t>
            </w:r>
            <w:r>
              <w:rPr>
                <w:rFonts w:cs="Arial"/>
                <w:color w:val="000000"/>
                <w:sz w:val="22"/>
                <w:szCs w:val="22"/>
                <w:lang w:bidi="ar-SA"/>
              </w:rPr>
              <w:t>**</w:t>
            </w:r>
            <w:r w:rsidRPr="0068091B">
              <w:rPr>
                <w:rFonts w:cs="Arial"/>
                <w:color w:val="000000"/>
                <w:sz w:val="22"/>
                <w:szCs w:val="22"/>
                <w:lang w:bidi="ar-SA"/>
              </w:rPr>
              <w:t xml:space="preserve"> </w:t>
            </w:r>
          </w:p>
        </w:tc>
        <w:tc>
          <w:tcPr>
            <w:tcW w:w="576" w:type="pct"/>
            <w:tcBorders>
              <w:top w:val="nil"/>
              <w:left w:val="nil"/>
              <w:bottom w:val="single" w:sz="4" w:space="0" w:color="auto"/>
              <w:right w:val="nil"/>
            </w:tcBorders>
            <w:shd w:val="clear" w:color="auto" w:fill="auto"/>
            <w:noWrap/>
            <w:vAlign w:val="center"/>
            <w:hideMark/>
          </w:tcPr>
          <w:p w14:paraId="374C4442"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Nein</w:t>
            </w:r>
          </w:p>
        </w:tc>
        <w:tc>
          <w:tcPr>
            <w:tcW w:w="577" w:type="pct"/>
            <w:tcBorders>
              <w:top w:val="nil"/>
              <w:left w:val="nil"/>
              <w:bottom w:val="single" w:sz="4" w:space="0" w:color="auto"/>
              <w:right w:val="nil"/>
            </w:tcBorders>
            <w:shd w:val="clear" w:color="auto" w:fill="auto"/>
            <w:noWrap/>
            <w:vAlign w:val="center"/>
            <w:hideMark/>
          </w:tcPr>
          <w:p w14:paraId="03E3666E"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Weiß nicht</w:t>
            </w:r>
          </w:p>
        </w:tc>
        <w:tc>
          <w:tcPr>
            <w:tcW w:w="576" w:type="pct"/>
            <w:tcBorders>
              <w:top w:val="nil"/>
              <w:left w:val="nil"/>
              <w:bottom w:val="single" w:sz="4" w:space="0" w:color="auto"/>
              <w:right w:val="nil"/>
            </w:tcBorders>
            <w:shd w:val="clear" w:color="auto" w:fill="auto"/>
            <w:noWrap/>
            <w:vAlign w:val="center"/>
            <w:hideMark/>
          </w:tcPr>
          <w:p w14:paraId="45DD4441"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Gesamt</w:t>
            </w:r>
          </w:p>
        </w:tc>
      </w:tr>
      <w:tr w:rsidR="0031278D" w:rsidRPr="0068091B" w14:paraId="00243DB9" w14:textId="77777777" w:rsidTr="00570EF7">
        <w:trPr>
          <w:trHeight w:val="285"/>
        </w:trPr>
        <w:tc>
          <w:tcPr>
            <w:tcW w:w="625" w:type="pct"/>
            <w:vMerge w:val="restart"/>
            <w:tcBorders>
              <w:top w:val="nil"/>
              <w:left w:val="nil"/>
              <w:bottom w:val="single" w:sz="4" w:space="0" w:color="auto"/>
              <w:right w:val="nil"/>
            </w:tcBorders>
            <w:shd w:val="clear" w:color="auto" w:fill="auto"/>
            <w:noWrap/>
            <w:vAlign w:val="center"/>
            <w:hideMark/>
          </w:tcPr>
          <w:p w14:paraId="407D1DDD" w14:textId="77777777" w:rsidR="0031278D" w:rsidRPr="0068091B" w:rsidRDefault="0031278D" w:rsidP="00570EF7">
            <w:pPr>
              <w:spacing w:line="240" w:lineRule="auto"/>
              <w:jc w:val="left"/>
              <w:rPr>
                <w:rFonts w:cs="Arial"/>
                <w:color w:val="000000"/>
                <w:sz w:val="22"/>
                <w:szCs w:val="22"/>
                <w:lang w:bidi="ar-SA"/>
              </w:rPr>
            </w:pPr>
            <w:r w:rsidRPr="0068091B">
              <w:rPr>
                <w:rFonts w:cs="Arial"/>
                <w:color w:val="000000"/>
                <w:sz w:val="22"/>
                <w:szCs w:val="22"/>
                <w:lang w:bidi="ar-SA"/>
              </w:rPr>
              <w:t>Aufen</w:t>
            </w:r>
            <w:r w:rsidRPr="0068091B">
              <w:rPr>
                <w:rFonts w:cs="Arial"/>
                <w:color w:val="000000"/>
                <w:sz w:val="22"/>
                <w:szCs w:val="22"/>
                <w:lang w:bidi="ar-SA"/>
              </w:rPr>
              <w:t>t</w:t>
            </w:r>
            <w:r w:rsidRPr="0068091B">
              <w:rPr>
                <w:rFonts w:cs="Arial"/>
                <w:color w:val="000000"/>
                <w:sz w:val="22"/>
                <w:szCs w:val="22"/>
                <w:lang w:bidi="ar-SA"/>
              </w:rPr>
              <w:t>haltsda</w:t>
            </w:r>
            <w:r w:rsidRPr="0068091B">
              <w:rPr>
                <w:rFonts w:cs="Arial"/>
                <w:color w:val="000000"/>
                <w:sz w:val="22"/>
                <w:szCs w:val="22"/>
                <w:lang w:bidi="ar-SA"/>
              </w:rPr>
              <w:t>u</w:t>
            </w:r>
            <w:r w:rsidRPr="0068091B">
              <w:rPr>
                <w:rFonts w:cs="Arial"/>
                <w:color w:val="000000"/>
                <w:sz w:val="22"/>
                <w:szCs w:val="22"/>
                <w:lang w:bidi="ar-SA"/>
              </w:rPr>
              <w:t>er im Gastland</w:t>
            </w:r>
          </w:p>
        </w:tc>
        <w:tc>
          <w:tcPr>
            <w:tcW w:w="1493" w:type="pct"/>
            <w:tcBorders>
              <w:top w:val="single" w:sz="4" w:space="0" w:color="auto"/>
              <w:left w:val="nil"/>
              <w:bottom w:val="single" w:sz="4" w:space="0" w:color="BFBFBF" w:themeColor="background1" w:themeShade="BF"/>
              <w:right w:val="nil"/>
            </w:tcBorders>
            <w:shd w:val="clear" w:color="auto" w:fill="auto"/>
            <w:noWrap/>
            <w:vAlign w:val="center"/>
            <w:hideMark/>
          </w:tcPr>
          <w:p w14:paraId="1AEF713E" w14:textId="77777777" w:rsidR="0031278D" w:rsidRPr="0068091B" w:rsidRDefault="0031278D" w:rsidP="00570EF7">
            <w:pPr>
              <w:spacing w:line="240" w:lineRule="auto"/>
              <w:jc w:val="left"/>
              <w:rPr>
                <w:rFonts w:cs="Arial"/>
                <w:color w:val="000000"/>
                <w:sz w:val="22"/>
                <w:szCs w:val="22"/>
                <w:lang w:bidi="ar-SA"/>
              </w:rPr>
            </w:pPr>
            <w:r w:rsidRPr="0068091B">
              <w:rPr>
                <w:rFonts w:cs="Arial"/>
                <w:color w:val="000000"/>
                <w:sz w:val="22"/>
                <w:szCs w:val="22"/>
                <w:lang w:bidi="ar-SA"/>
              </w:rPr>
              <w:t>0 bis 10 Jahre</w:t>
            </w:r>
          </w:p>
        </w:tc>
        <w:tc>
          <w:tcPr>
            <w:tcW w:w="576" w:type="pct"/>
            <w:tcBorders>
              <w:top w:val="single" w:sz="4" w:space="0" w:color="auto"/>
              <w:left w:val="nil"/>
              <w:bottom w:val="single" w:sz="4" w:space="0" w:color="BFBFBF" w:themeColor="background1" w:themeShade="BF"/>
              <w:right w:val="nil"/>
            </w:tcBorders>
            <w:shd w:val="clear" w:color="auto" w:fill="auto"/>
            <w:noWrap/>
            <w:vAlign w:val="center"/>
            <w:hideMark/>
          </w:tcPr>
          <w:p w14:paraId="6ED815B6"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4</w:t>
            </w:r>
          </w:p>
        </w:tc>
        <w:tc>
          <w:tcPr>
            <w:tcW w:w="577" w:type="pct"/>
            <w:tcBorders>
              <w:top w:val="single" w:sz="4" w:space="0" w:color="auto"/>
              <w:left w:val="nil"/>
              <w:bottom w:val="single" w:sz="4" w:space="0" w:color="BFBFBF" w:themeColor="background1" w:themeShade="BF"/>
              <w:right w:val="nil"/>
            </w:tcBorders>
            <w:shd w:val="clear" w:color="auto" w:fill="auto"/>
            <w:noWrap/>
            <w:vAlign w:val="center"/>
            <w:hideMark/>
          </w:tcPr>
          <w:p w14:paraId="72C5DE2D"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71</w:t>
            </w:r>
          </w:p>
        </w:tc>
        <w:tc>
          <w:tcPr>
            <w:tcW w:w="576" w:type="pct"/>
            <w:tcBorders>
              <w:top w:val="single" w:sz="4" w:space="0" w:color="auto"/>
              <w:left w:val="nil"/>
              <w:bottom w:val="single" w:sz="4" w:space="0" w:color="BFBFBF" w:themeColor="background1" w:themeShade="BF"/>
              <w:right w:val="nil"/>
            </w:tcBorders>
            <w:shd w:val="clear" w:color="auto" w:fill="auto"/>
            <w:noWrap/>
            <w:vAlign w:val="center"/>
            <w:hideMark/>
          </w:tcPr>
          <w:p w14:paraId="2BE95651"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21</w:t>
            </w:r>
          </w:p>
        </w:tc>
        <w:tc>
          <w:tcPr>
            <w:tcW w:w="577" w:type="pct"/>
            <w:tcBorders>
              <w:top w:val="single" w:sz="4" w:space="0" w:color="auto"/>
              <w:left w:val="nil"/>
              <w:bottom w:val="single" w:sz="4" w:space="0" w:color="BFBFBF" w:themeColor="background1" w:themeShade="BF"/>
              <w:right w:val="nil"/>
            </w:tcBorders>
            <w:shd w:val="clear" w:color="auto" w:fill="auto"/>
            <w:noWrap/>
            <w:vAlign w:val="center"/>
            <w:hideMark/>
          </w:tcPr>
          <w:p w14:paraId="31A11F8B"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4</w:t>
            </w:r>
          </w:p>
        </w:tc>
        <w:tc>
          <w:tcPr>
            <w:tcW w:w="576" w:type="pct"/>
            <w:tcBorders>
              <w:top w:val="single" w:sz="4" w:space="0" w:color="auto"/>
              <w:left w:val="nil"/>
              <w:bottom w:val="single" w:sz="4" w:space="0" w:color="BFBFBF" w:themeColor="background1" w:themeShade="BF"/>
              <w:right w:val="nil"/>
            </w:tcBorders>
            <w:shd w:val="clear" w:color="auto" w:fill="auto"/>
            <w:noWrap/>
            <w:vAlign w:val="center"/>
            <w:hideMark/>
          </w:tcPr>
          <w:p w14:paraId="0D43E13B"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100</w:t>
            </w:r>
          </w:p>
        </w:tc>
      </w:tr>
      <w:tr w:rsidR="0031278D" w:rsidRPr="0068091B" w14:paraId="6858965D" w14:textId="77777777" w:rsidTr="00570EF7">
        <w:trPr>
          <w:trHeight w:val="285"/>
        </w:trPr>
        <w:tc>
          <w:tcPr>
            <w:tcW w:w="625" w:type="pct"/>
            <w:vMerge/>
            <w:tcBorders>
              <w:top w:val="nil"/>
              <w:left w:val="nil"/>
              <w:bottom w:val="single" w:sz="4" w:space="0" w:color="auto"/>
              <w:right w:val="nil"/>
            </w:tcBorders>
            <w:vAlign w:val="center"/>
            <w:hideMark/>
          </w:tcPr>
          <w:p w14:paraId="096098E9" w14:textId="77777777" w:rsidR="0031278D" w:rsidRPr="0068091B" w:rsidRDefault="0031278D" w:rsidP="00570EF7">
            <w:pPr>
              <w:spacing w:line="240" w:lineRule="auto"/>
              <w:jc w:val="left"/>
              <w:rPr>
                <w:rFonts w:cs="Arial"/>
                <w:color w:val="000000"/>
                <w:sz w:val="22"/>
                <w:szCs w:val="22"/>
                <w:lang w:bidi="ar-SA"/>
              </w:rPr>
            </w:pPr>
          </w:p>
        </w:tc>
        <w:tc>
          <w:tcPr>
            <w:tcW w:w="1493" w:type="pct"/>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9D6C6AF" w14:textId="77777777" w:rsidR="0031278D" w:rsidRPr="0068091B" w:rsidRDefault="0031278D" w:rsidP="00570EF7">
            <w:pPr>
              <w:spacing w:line="240" w:lineRule="auto"/>
              <w:jc w:val="left"/>
              <w:rPr>
                <w:rFonts w:cs="Arial"/>
                <w:color w:val="000000"/>
                <w:sz w:val="22"/>
                <w:szCs w:val="22"/>
                <w:lang w:bidi="ar-SA"/>
              </w:rPr>
            </w:pPr>
            <w:r w:rsidRPr="0068091B">
              <w:rPr>
                <w:rFonts w:cs="Arial"/>
                <w:color w:val="000000"/>
                <w:sz w:val="22"/>
                <w:szCs w:val="22"/>
                <w:lang w:bidi="ar-SA"/>
              </w:rPr>
              <w:t>11 bis 20 Jahre</w:t>
            </w:r>
          </w:p>
        </w:tc>
        <w:tc>
          <w:tcPr>
            <w:tcW w:w="576" w:type="pct"/>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1F911DF4"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2</w:t>
            </w:r>
          </w:p>
        </w:tc>
        <w:tc>
          <w:tcPr>
            <w:tcW w:w="577" w:type="pct"/>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1D36E3E6"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80</w:t>
            </w:r>
          </w:p>
        </w:tc>
        <w:tc>
          <w:tcPr>
            <w:tcW w:w="576" w:type="pct"/>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DD1A241"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16</w:t>
            </w:r>
          </w:p>
        </w:tc>
        <w:tc>
          <w:tcPr>
            <w:tcW w:w="577" w:type="pct"/>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E4A7E31"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2</w:t>
            </w:r>
          </w:p>
        </w:tc>
        <w:tc>
          <w:tcPr>
            <w:tcW w:w="576" w:type="pct"/>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1AD7EAD4"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100</w:t>
            </w:r>
          </w:p>
        </w:tc>
      </w:tr>
      <w:tr w:rsidR="0031278D" w:rsidRPr="0068091B" w14:paraId="73D60A75" w14:textId="77777777" w:rsidTr="00570EF7">
        <w:trPr>
          <w:trHeight w:val="285"/>
        </w:trPr>
        <w:tc>
          <w:tcPr>
            <w:tcW w:w="625" w:type="pct"/>
            <w:vMerge/>
            <w:tcBorders>
              <w:top w:val="nil"/>
              <w:left w:val="nil"/>
              <w:bottom w:val="single" w:sz="4" w:space="0" w:color="auto"/>
              <w:right w:val="nil"/>
            </w:tcBorders>
            <w:vAlign w:val="center"/>
            <w:hideMark/>
          </w:tcPr>
          <w:p w14:paraId="298D5556" w14:textId="77777777" w:rsidR="0031278D" w:rsidRPr="0068091B" w:rsidRDefault="0031278D" w:rsidP="00570EF7">
            <w:pPr>
              <w:spacing w:line="240" w:lineRule="auto"/>
              <w:jc w:val="left"/>
              <w:rPr>
                <w:rFonts w:cs="Arial"/>
                <w:color w:val="000000"/>
                <w:sz w:val="22"/>
                <w:szCs w:val="22"/>
                <w:lang w:bidi="ar-SA"/>
              </w:rPr>
            </w:pPr>
          </w:p>
        </w:tc>
        <w:tc>
          <w:tcPr>
            <w:tcW w:w="1493" w:type="pct"/>
            <w:tcBorders>
              <w:top w:val="single" w:sz="4" w:space="0" w:color="BFBFBF" w:themeColor="background1" w:themeShade="BF"/>
              <w:left w:val="nil"/>
              <w:bottom w:val="single" w:sz="4" w:space="0" w:color="auto"/>
              <w:right w:val="nil"/>
            </w:tcBorders>
            <w:shd w:val="clear" w:color="auto" w:fill="auto"/>
            <w:noWrap/>
            <w:vAlign w:val="center"/>
            <w:hideMark/>
          </w:tcPr>
          <w:p w14:paraId="2E0F9F22" w14:textId="77777777" w:rsidR="0031278D" w:rsidRPr="0068091B" w:rsidRDefault="0031278D" w:rsidP="00570EF7">
            <w:pPr>
              <w:spacing w:line="240" w:lineRule="auto"/>
              <w:jc w:val="left"/>
              <w:rPr>
                <w:rFonts w:cs="Arial"/>
                <w:color w:val="000000"/>
                <w:sz w:val="22"/>
                <w:szCs w:val="22"/>
                <w:lang w:bidi="ar-SA"/>
              </w:rPr>
            </w:pPr>
            <w:r w:rsidRPr="0068091B">
              <w:rPr>
                <w:rFonts w:cs="Arial"/>
                <w:color w:val="000000"/>
                <w:sz w:val="22"/>
                <w:szCs w:val="22"/>
                <w:lang w:bidi="ar-SA"/>
              </w:rPr>
              <w:t>mehr als 20 Jahre</w:t>
            </w:r>
          </w:p>
        </w:tc>
        <w:tc>
          <w:tcPr>
            <w:tcW w:w="576" w:type="pct"/>
            <w:tcBorders>
              <w:top w:val="single" w:sz="4" w:space="0" w:color="BFBFBF" w:themeColor="background1" w:themeShade="BF"/>
              <w:left w:val="nil"/>
              <w:bottom w:val="single" w:sz="4" w:space="0" w:color="auto"/>
              <w:right w:val="nil"/>
            </w:tcBorders>
            <w:shd w:val="clear" w:color="auto" w:fill="auto"/>
            <w:noWrap/>
            <w:vAlign w:val="center"/>
            <w:hideMark/>
          </w:tcPr>
          <w:p w14:paraId="28589B7E"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3</w:t>
            </w:r>
          </w:p>
        </w:tc>
        <w:tc>
          <w:tcPr>
            <w:tcW w:w="577" w:type="pct"/>
            <w:tcBorders>
              <w:top w:val="single" w:sz="4" w:space="0" w:color="BFBFBF" w:themeColor="background1" w:themeShade="BF"/>
              <w:left w:val="nil"/>
              <w:bottom w:val="single" w:sz="4" w:space="0" w:color="auto"/>
              <w:right w:val="nil"/>
            </w:tcBorders>
            <w:shd w:val="clear" w:color="auto" w:fill="auto"/>
            <w:noWrap/>
            <w:vAlign w:val="center"/>
            <w:hideMark/>
          </w:tcPr>
          <w:p w14:paraId="6A51F6D4"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67</w:t>
            </w:r>
          </w:p>
        </w:tc>
        <w:tc>
          <w:tcPr>
            <w:tcW w:w="576" w:type="pct"/>
            <w:tcBorders>
              <w:top w:val="single" w:sz="4" w:space="0" w:color="BFBFBF" w:themeColor="background1" w:themeShade="BF"/>
              <w:left w:val="nil"/>
              <w:bottom w:val="single" w:sz="4" w:space="0" w:color="auto"/>
              <w:right w:val="nil"/>
            </w:tcBorders>
            <w:shd w:val="clear" w:color="auto" w:fill="auto"/>
            <w:noWrap/>
            <w:vAlign w:val="center"/>
            <w:hideMark/>
          </w:tcPr>
          <w:p w14:paraId="65771CD9"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29</w:t>
            </w:r>
          </w:p>
        </w:tc>
        <w:tc>
          <w:tcPr>
            <w:tcW w:w="577" w:type="pct"/>
            <w:tcBorders>
              <w:top w:val="single" w:sz="4" w:space="0" w:color="BFBFBF" w:themeColor="background1" w:themeShade="BF"/>
              <w:left w:val="nil"/>
              <w:bottom w:val="single" w:sz="4" w:space="0" w:color="auto"/>
              <w:right w:val="nil"/>
            </w:tcBorders>
            <w:shd w:val="clear" w:color="auto" w:fill="auto"/>
            <w:noWrap/>
            <w:vAlign w:val="center"/>
            <w:hideMark/>
          </w:tcPr>
          <w:p w14:paraId="259A9803"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2</w:t>
            </w:r>
          </w:p>
        </w:tc>
        <w:tc>
          <w:tcPr>
            <w:tcW w:w="576" w:type="pct"/>
            <w:tcBorders>
              <w:top w:val="single" w:sz="4" w:space="0" w:color="BFBFBF" w:themeColor="background1" w:themeShade="BF"/>
              <w:left w:val="nil"/>
              <w:bottom w:val="single" w:sz="4" w:space="0" w:color="auto"/>
              <w:right w:val="nil"/>
            </w:tcBorders>
            <w:shd w:val="clear" w:color="auto" w:fill="auto"/>
            <w:noWrap/>
            <w:vAlign w:val="center"/>
            <w:hideMark/>
          </w:tcPr>
          <w:p w14:paraId="36C66323"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100</w:t>
            </w:r>
          </w:p>
        </w:tc>
      </w:tr>
      <w:tr w:rsidR="0031278D" w:rsidRPr="0068091B" w14:paraId="39EA1FFD" w14:textId="77777777" w:rsidTr="00570EF7">
        <w:trPr>
          <w:trHeight w:val="285"/>
        </w:trPr>
        <w:tc>
          <w:tcPr>
            <w:tcW w:w="625" w:type="pct"/>
            <w:vMerge w:val="restart"/>
            <w:tcBorders>
              <w:top w:val="nil"/>
              <w:left w:val="nil"/>
              <w:bottom w:val="single" w:sz="4" w:space="0" w:color="auto"/>
              <w:right w:val="nil"/>
            </w:tcBorders>
            <w:shd w:val="clear" w:color="auto" w:fill="auto"/>
            <w:noWrap/>
            <w:vAlign w:val="center"/>
            <w:hideMark/>
          </w:tcPr>
          <w:p w14:paraId="755C150D" w14:textId="77777777" w:rsidR="0031278D" w:rsidRPr="0068091B" w:rsidRDefault="0031278D" w:rsidP="00570EF7">
            <w:pPr>
              <w:spacing w:line="240" w:lineRule="auto"/>
              <w:jc w:val="left"/>
              <w:rPr>
                <w:rFonts w:cs="Arial"/>
                <w:color w:val="000000"/>
                <w:sz w:val="22"/>
                <w:szCs w:val="22"/>
                <w:lang w:bidi="ar-SA"/>
              </w:rPr>
            </w:pPr>
            <w:r w:rsidRPr="0068091B">
              <w:rPr>
                <w:rFonts w:cs="Arial"/>
                <w:color w:val="000000"/>
                <w:sz w:val="22"/>
                <w:szCs w:val="22"/>
                <w:lang w:bidi="ar-SA"/>
              </w:rPr>
              <w:t>Höchster Bildung</w:t>
            </w:r>
            <w:r w:rsidRPr="0068091B">
              <w:rPr>
                <w:rFonts w:cs="Arial"/>
                <w:color w:val="000000"/>
                <w:sz w:val="22"/>
                <w:szCs w:val="22"/>
                <w:lang w:bidi="ar-SA"/>
              </w:rPr>
              <w:t>s</w:t>
            </w:r>
            <w:r w:rsidRPr="0068091B">
              <w:rPr>
                <w:rFonts w:cs="Arial"/>
                <w:color w:val="000000"/>
                <w:sz w:val="22"/>
                <w:szCs w:val="22"/>
                <w:lang w:bidi="ar-SA"/>
              </w:rPr>
              <w:t>abschluss</w:t>
            </w:r>
          </w:p>
        </w:tc>
        <w:tc>
          <w:tcPr>
            <w:tcW w:w="1493" w:type="pct"/>
            <w:tcBorders>
              <w:top w:val="single" w:sz="4" w:space="0" w:color="auto"/>
              <w:left w:val="nil"/>
              <w:bottom w:val="single" w:sz="4" w:space="0" w:color="BFBFBF" w:themeColor="background1" w:themeShade="BF"/>
              <w:right w:val="nil"/>
            </w:tcBorders>
            <w:shd w:val="clear" w:color="auto" w:fill="auto"/>
            <w:noWrap/>
            <w:vAlign w:val="center"/>
            <w:hideMark/>
          </w:tcPr>
          <w:p w14:paraId="68A078F3" w14:textId="77777777" w:rsidR="0031278D" w:rsidRPr="0068091B" w:rsidRDefault="0031278D" w:rsidP="00570EF7">
            <w:pPr>
              <w:spacing w:line="240" w:lineRule="auto"/>
              <w:jc w:val="left"/>
              <w:rPr>
                <w:rFonts w:cs="Arial"/>
                <w:color w:val="000000"/>
                <w:sz w:val="22"/>
                <w:szCs w:val="22"/>
                <w:lang w:bidi="ar-SA"/>
              </w:rPr>
            </w:pPr>
            <w:r w:rsidRPr="0068091B">
              <w:rPr>
                <w:rFonts w:cs="Arial"/>
                <w:color w:val="000000"/>
                <w:sz w:val="22"/>
                <w:szCs w:val="22"/>
                <w:lang w:bidi="ar-SA"/>
              </w:rPr>
              <w:t>kein Schulabschluss, Grundschule, Berufsau</w:t>
            </w:r>
            <w:r w:rsidRPr="0068091B">
              <w:rPr>
                <w:rFonts w:cs="Arial"/>
                <w:color w:val="000000"/>
                <w:sz w:val="22"/>
                <w:szCs w:val="22"/>
                <w:lang w:bidi="ar-SA"/>
              </w:rPr>
              <w:t>s</w:t>
            </w:r>
            <w:r w:rsidRPr="0068091B">
              <w:rPr>
                <w:rFonts w:cs="Arial"/>
                <w:color w:val="000000"/>
                <w:sz w:val="22"/>
                <w:szCs w:val="22"/>
                <w:lang w:bidi="ar-SA"/>
              </w:rPr>
              <w:t>bildung</w:t>
            </w:r>
          </w:p>
        </w:tc>
        <w:tc>
          <w:tcPr>
            <w:tcW w:w="576" w:type="pct"/>
            <w:tcBorders>
              <w:top w:val="single" w:sz="4" w:space="0" w:color="auto"/>
              <w:left w:val="nil"/>
              <w:bottom w:val="single" w:sz="4" w:space="0" w:color="BFBFBF" w:themeColor="background1" w:themeShade="BF"/>
              <w:right w:val="nil"/>
            </w:tcBorders>
            <w:shd w:val="clear" w:color="auto" w:fill="auto"/>
            <w:noWrap/>
            <w:vAlign w:val="center"/>
            <w:hideMark/>
          </w:tcPr>
          <w:p w14:paraId="6F4CEB66"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4</w:t>
            </w:r>
          </w:p>
        </w:tc>
        <w:tc>
          <w:tcPr>
            <w:tcW w:w="577" w:type="pct"/>
            <w:tcBorders>
              <w:top w:val="single" w:sz="4" w:space="0" w:color="auto"/>
              <w:left w:val="nil"/>
              <w:bottom w:val="single" w:sz="4" w:space="0" w:color="BFBFBF" w:themeColor="background1" w:themeShade="BF"/>
              <w:right w:val="nil"/>
            </w:tcBorders>
            <w:shd w:val="clear" w:color="auto" w:fill="auto"/>
            <w:noWrap/>
            <w:vAlign w:val="center"/>
            <w:hideMark/>
          </w:tcPr>
          <w:p w14:paraId="74EFA22F"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65</w:t>
            </w:r>
          </w:p>
        </w:tc>
        <w:tc>
          <w:tcPr>
            <w:tcW w:w="576" w:type="pct"/>
            <w:tcBorders>
              <w:top w:val="single" w:sz="4" w:space="0" w:color="auto"/>
              <w:left w:val="nil"/>
              <w:bottom w:val="single" w:sz="4" w:space="0" w:color="BFBFBF" w:themeColor="background1" w:themeShade="BF"/>
              <w:right w:val="nil"/>
            </w:tcBorders>
            <w:shd w:val="clear" w:color="auto" w:fill="auto"/>
            <w:noWrap/>
            <w:vAlign w:val="center"/>
            <w:hideMark/>
          </w:tcPr>
          <w:p w14:paraId="282DE847"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30</w:t>
            </w:r>
          </w:p>
        </w:tc>
        <w:tc>
          <w:tcPr>
            <w:tcW w:w="577" w:type="pct"/>
            <w:tcBorders>
              <w:top w:val="single" w:sz="4" w:space="0" w:color="auto"/>
              <w:left w:val="nil"/>
              <w:bottom w:val="single" w:sz="4" w:space="0" w:color="BFBFBF" w:themeColor="background1" w:themeShade="BF"/>
              <w:right w:val="nil"/>
            </w:tcBorders>
            <w:shd w:val="clear" w:color="auto" w:fill="auto"/>
            <w:noWrap/>
            <w:vAlign w:val="center"/>
            <w:hideMark/>
          </w:tcPr>
          <w:p w14:paraId="0434A15F"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2</w:t>
            </w:r>
          </w:p>
        </w:tc>
        <w:tc>
          <w:tcPr>
            <w:tcW w:w="576" w:type="pct"/>
            <w:tcBorders>
              <w:top w:val="single" w:sz="4" w:space="0" w:color="auto"/>
              <w:left w:val="nil"/>
              <w:bottom w:val="single" w:sz="4" w:space="0" w:color="BFBFBF" w:themeColor="background1" w:themeShade="BF"/>
              <w:right w:val="nil"/>
            </w:tcBorders>
            <w:shd w:val="clear" w:color="auto" w:fill="auto"/>
            <w:noWrap/>
            <w:vAlign w:val="center"/>
            <w:hideMark/>
          </w:tcPr>
          <w:p w14:paraId="721F681D"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100</w:t>
            </w:r>
          </w:p>
        </w:tc>
      </w:tr>
      <w:tr w:rsidR="0031278D" w:rsidRPr="0068091B" w14:paraId="08AD5D9B" w14:textId="77777777" w:rsidTr="00570EF7">
        <w:trPr>
          <w:trHeight w:val="285"/>
        </w:trPr>
        <w:tc>
          <w:tcPr>
            <w:tcW w:w="625" w:type="pct"/>
            <w:vMerge/>
            <w:tcBorders>
              <w:top w:val="nil"/>
              <w:left w:val="nil"/>
              <w:bottom w:val="single" w:sz="4" w:space="0" w:color="auto"/>
              <w:right w:val="nil"/>
            </w:tcBorders>
            <w:vAlign w:val="center"/>
            <w:hideMark/>
          </w:tcPr>
          <w:p w14:paraId="65DA05B3" w14:textId="77777777" w:rsidR="0031278D" w:rsidRPr="0068091B" w:rsidRDefault="0031278D" w:rsidP="00570EF7">
            <w:pPr>
              <w:spacing w:line="240" w:lineRule="auto"/>
              <w:jc w:val="left"/>
              <w:rPr>
                <w:rFonts w:cs="Arial"/>
                <w:color w:val="000000"/>
                <w:sz w:val="22"/>
                <w:szCs w:val="22"/>
                <w:lang w:bidi="ar-SA"/>
              </w:rPr>
            </w:pPr>
          </w:p>
        </w:tc>
        <w:tc>
          <w:tcPr>
            <w:tcW w:w="1493" w:type="pct"/>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819873B" w14:textId="77777777" w:rsidR="0031278D" w:rsidRPr="0068091B" w:rsidRDefault="0031278D" w:rsidP="00570EF7">
            <w:pPr>
              <w:spacing w:line="240" w:lineRule="auto"/>
              <w:jc w:val="left"/>
              <w:rPr>
                <w:rFonts w:cs="Arial"/>
                <w:color w:val="000000"/>
                <w:sz w:val="22"/>
                <w:szCs w:val="22"/>
                <w:lang w:bidi="ar-SA"/>
              </w:rPr>
            </w:pPr>
            <w:r w:rsidRPr="0068091B">
              <w:rPr>
                <w:rFonts w:cs="Arial"/>
                <w:color w:val="000000"/>
                <w:sz w:val="22"/>
                <w:szCs w:val="22"/>
                <w:lang w:bidi="ar-SA"/>
              </w:rPr>
              <w:t>Matura, Fachausbildung</w:t>
            </w:r>
          </w:p>
        </w:tc>
        <w:tc>
          <w:tcPr>
            <w:tcW w:w="576" w:type="pct"/>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0665CF29"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3</w:t>
            </w:r>
          </w:p>
        </w:tc>
        <w:tc>
          <w:tcPr>
            <w:tcW w:w="577" w:type="pct"/>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0AC8FA97"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65</w:t>
            </w:r>
          </w:p>
        </w:tc>
        <w:tc>
          <w:tcPr>
            <w:tcW w:w="576" w:type="pct"/>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B422A27"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30</w:t>
            </w:r>
          </w:p>
        </w:tc>
        <w:tc>
          <w:tcPr>
            <w:tcW w:w="577" w:type="pct"/>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1457F5F5"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2</w:t>
            </w:r>
          </w:p>
        </w:tc>
        <w:tc>
          <w:tcPr>
            <w:tcW w:w="576" w:type="pct"/>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0D837F0A"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100</w:t>
            </w:r>
          </w:p>
        </w:tc>
      </w:tr>
      <w:tr w:rsidR="0031278D" w:rsidRPr="0068091B" w14:paraId="3C552430" w14:textId="77777777" w:rsidTr="00570EF7">
        <w:trPr>
          <w:trHeight w:val="285"/>
        </w:trPr>
        <w:tc>
          <w:tcPr>
            <w:tcW w:w="625" w:type="pct"/>
            <w:vMerge/>
            <w:tcBorders>
              <w:top w:val="nil"/>
              <w:left w:val="nil"/>
              <w:bottom w:val="single" w:sz="4" w:space="0" w:color="auto"/>
              <w:right w:val="nil"/>
            </w:tcBorders>
            <w:vAlign w:val="center"/>
            <w:hideMark/>
          </w:tcPr>
          <w:p w14:paraId="7DECB4E8" w14:textId="77777777" w:rsidR="0031278D" w:rsidRPr="0068091B" w:rsidRDefault="0031278D" w:rsidP="00570EF7">
            <w:pPr>
              <w:spacing w:line="240" w:lineRule="auto"/>
              <w:jc w:val="left"/>
              <w:rPr>
                <w:rFonts w:cs="Arial"/>
                <w:color w:val="000000"/>
                <w:sz w:val="22"/>
                <w:szCs w:val="22"/>
                <w:lang w:bidi="ar-SA"/>
              </w:rPr>
            </w:pPr>
          </w:p>
        </w:tc>
        <w:tc>
          <w:tcPr>
            <w:tcW w:w="1493" w:type="pct"/>
            <w:tcBorders>
              <w:top w:val="single" w:sz="4" w:space="0" w:color="BFBFBF" w:themeColor="background1" w:themeShade="BF"/>
              <w:left w:val="nil"/>
              <w:bottom w:val="single" w:sz="4" w:space="0" w:color="auto"/>
              <w:right w:val="nil"/>
            </w:tcBorders>
            <w:shd w:val="clear" w:color="auto" w:fill="auto"/>
            <w:noWrap/>
            <w:vAlign w:val="center"/>
            <w:hideMark/>
          </w:tcPr>
          <w:p w14:paraId="7CE531EC" w14:textId="77777777" w:rsidR="0031278D" w:rsidRPr="0068091B" w:rsidRDefault="0031278D" w:rsidP="00570EF7">
            <w:pPr>
              <w:spacing w:line="240" w:lineRule="auto"/>
              <w:jc w:val="left"/>
              <w:rPr>
                <w:rFonts w:cs="Arial"/>
                <w:color w:val="000000"/>
                <w:sz w:val="22"/>
                <w:szCs w:val="22"/>
                <w:lang w:bidi="ar-SA"/>
              </w:rPr>
            </w:pPr>
            <w:r w:rsidRPr="0068091B">
              <w:rPr>
                <w:rFonts w:cs="Arial"/>
                <w:color w:val="000000"/>
                <w:sz w:val="22"/>
                <w:szCs w:val="22"/>
                <w:lang w:bidi="ar-SA"/>
              </w:rPr>
              <w:t>Hochschule</w:t>
            </w:r>
          </w:p>
        </w:tc>
        <w:tc>
          <w:tcPr>
            <w:tcW w:w="576" w:type="pct"/>
            <w:tcBorders>
              <w:top w:val="single" w:sz="4" w:space="0" w:color="BFBFBF" w:themeColor="background1" w:themeShade="BF"/>
              <w:left w:val="nil"/>
              <w:bottom w:val="single" w:sz="4" w:space="0" w:color="auto"/>
              <w:right w:val="nil"/>
            </w:tcBorders>
            <w:shd w:val="clear" w:color="auto" w:fill="auto"/>
            <w:noWrap/>
            <w:vAlign w:val="center"/>
            <w:hideMark/>
          </w:tcPr>
          <w:p w14:paraId="7FB91E7F"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3</w:t>
            </w:r>
          </w:p>
        </w:tc>
        <w:tc>
          <w:tcPr>
            <w:tcW w:w="577" w:type="pct"/>
            <w:tcBorders>
              <w:top w:val="single" w:sz="4" w:space="0" w:color="BFBFBF" w:themeColor="background1" w:themeShade="BF"/>
              <w:left w:val="nil"/>
              <w:bottom w:val="single" w:sz="4" w:space="0" w:color="auto"/>
              <w:right w:val="nil"/>
            </w:tcBorders>
            <w:shd w:val="clear" w:color="auto" w:fill="auto"/>
            <w:noWrap/>
            <w:vAlign w:val="center"/>
            <w:hideMark/>
          </w:tcPr>
          <w:p w14:paraId="7BD3E066"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75</w:t>
            </w:r>
          </w:p>
        </w:tc>
        <w:tc>
          <w:tcPr>
            <w:tcW w:w="576" w:type="pct"/>
            <w:tcBorders>
              <w:top w:val="single" w:sz="4" w:space="0" w:color="BFBFBF" w:themeColor="background1" w:themeShade="BF"/>
              <w:left w:val="nil"/>
              <w:bottom w:val="single" w:sz="4" w:space="0" w:color="auto"/>
              <w:right w:val="nil"/>
            </w:tcBorders>
            <w:shd w:val="clear" w:color="auto" w:fill="auto"/>
            <w:noWrap/>
            <w:vAlign w:val="center"/>
            <w:hideMark/>
          </w:tcPr>
          <w:p w14:paraId="0A54A969"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19</w:t>
            </w:r>
          </w:p>
        </w:tc>
        <w:tc>
          <w:tcPr>
            <w:tcW w:w="577" w:type="pct"/>
            <w:tcBorders>
              <w:top w:val="single" w:sz="4" w:space="0" w:color="BFBFBF" w:themeColor="background1" w:themeShade="BF"/>
              <w:left w:val="nil"/>
              <w:bottom w:val="single" w:sz="4" w:space="0" w:color="auto"/>
              <w:right w:val="nil"/>
            </w:tcBorders>
            <w:shd w:val="clear" w:color="auto" w:fill="auto"/>
            <w:noWrap/>
            <w:vAlign w:val="center"/>
            <w:hideMark/>
          </w:tcPr>
          <w:p w14:paraId="6CF3DA76"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3</w:t>
            </w:r>
          </w:p>
        </w:tc>
        <w:tc>
          <w:tcPr>
            <w:tcW w:w="576" w:type="pct"/>
            <w:tcBorders>
              <w:top w:val="single" w:sz="4" w:space="0" w:color="BFBFBF" w:themeColor="background1" w:themeShade="BF"/>
              <w:left w:val="nil"/>
              <w:bottom w:val="single" w:sz="4" w:space="0" w:color="auto"/>
              <w:right w:val="nil"/>
            </w:tcBorders>
            <w:shd w:val="clear" w:color="auto" w:fill="auto"/>
            <w:noWrap/>
            <w:vAlign w:val="center"/>
            <w:hideMark/>
          </w:tcPr>
          <w:p w14:paraId="6210DF58"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100</w:t>
            </w:r>
          </w:p>
        </w:tc>
      </w:tr>
      <w:tr w:rsidR="0031278D" w:rsidRPr="0068091B" w14:paraId="58858B87" w14:textId="77777777" w:rsidTr="00570EF7">
        <w:trPr>
          <w:trHeight w:val="285"/>
        </w:trPr>
        <w:tc>
          <w:tcPr>
            <w:tcW w:w="625" w:type="pct"/>
            <w:vMerge w:val="restart"/>
            <w:tcBorders>
              <w:top w:val="nil"/>
              <w:left w:val="nil"/>
              <w:bottom w:val="single" w:sz="4" w:space="0" w:color="auto"/>
              <w:right w:val="nil"/>
            </w:tcBorders>
            <w:shd w:val="clear" w:color="auto" w:fill="auto"/>
            <w:noWrap/>
            <w:vAlign w:val="center"/>
            <w:hideMark/>
          </w:tcPr>
          <w:p w14:paraId="295A0A86" w14:textId="04DA286B" w:rsidR="0031278D" w:rsidRPr="0068091B" w:rsidRDefault="0031278D" w:rsidP="00570EF7">
            <w:pPr>
              <w:spacing w:line="240" w:lineRule="auto"/>
              <w:jc w:val="left"/>
              <w:rPr>
                <w:rFonts w:cs="Arial"/>
                <w:color w:val="000000"/>
                <w:sz w:val="22"/>
                <w:szCs w:val="22"/>
                <w:lang w:bidi="ar-SA"/>
              </w:rPr>
            </w:pPr>
            <w:r w:rsidRPr="0068091B">
              <w:rPr>
                <w:rFonts w:cs="Arial"/>
                <w:color w:val="000000"/>
                <w:sz w:val="22"/>
                <w:szCs w:val="22"/>
                <w:lang w:bidi="ar-SA"/>
              </w:rPr>
              <w:t>G</w:t>
            </w:r>
            <w:r w:rsidRPr="0068091B">
              <w:rPr>
                <w:rFonts w:cs="Arial"/>
                <w:color w:val="000000"/>
                <w:sz w:val="22"/>
                <w:szCs w:val="22"/>
                <w:lang w:bidi="ar-SA"/>
              </w:rPr>
              <w:t>e</w:t>
            </w:r>
            <w:r w:rsidR="007176E9">
              <w:rPr>
                <w:rFonts w:cs="Arial"/>
                <w:color w:val="000000"/>
                <w:sz w:val="22"/>
                <w:szCs w:val="22"/>
                <w:lang w:bidi="ar-SA"/>
              </w:rPr>
              <w:t>sc</w:t>
            </w:r>
            <w:r w:rsidRPr="0068091B">
              <w:rPr>
                <w:rFonts w:cs="Arial"/>
                <w:color w:val="000000"/>
                <w:sz w:val="22"/>
                <w:szCs w:val="22"/>
                <w:lang w:bidi="ar-SA"/>
              </w:rPr>
              <w:t>hlecht</w:t>
            </w:r>
          </w:p>
        </w:tc>
        <w:tc>
          <w:tcPr>
            <w:tcW w:w="1493" w:type="pct"/>
            <w:tcBorders>
              <w:top w:val="single" w:sz="4" w:space="0" w:color="auto"/>
              <w:left w:val="nil"/>
              <w:bottom w:val="single" w:sz="4" w:space="0" w:color="BFBFBF" w:themeColor="background1" w:themeShade="BF"/>
              <w:right w:val="nil"/>
            </w:tcBorders>
            <w:shd w:val="clear" w:color="auto" w:fill="auto"/>
            <w:noWrap/>
            <w:vAlign w:val="center"/>
            <w:hideMark/>
          </w:tcPr>
          <w:p w14:paraId="7E527C49" w14:textId="77777777" w:rsidR="0031278D" w:rsidRPr="0068091B" w:rsidRDefault="0031278D" w:rsidP="00570EF7">
            <w:pPr>
              <w:spacing w:line="240" w:lineRule="auto"/>
              <w:jc w:val="left"/>
              <w:rPr>
                <w:rFonts w:cs="Arial"/>
                <w:color w:val="000000"/>
                <w:sz w:val="22"/>
                <w:szCs w:val="22"/>
                <w:lang w:bidi="ar-SA"/>
              </w:rPr>
            </w:pPr>
            <w:r w:rsidRPr="0068091B">
              <w:rPr>
                <w:rFonts w:cs="Arial"/>
                <w:color w:val="000000"/>
                <w:sz w:val="22"/>
                <w:szCs w:val="22"/>
                <w:lang w:bidi="ar-SA"/>
              </w:rPr>
              <w:t>Weiblich</w:t>
            </w:r>
          </w:p>
        </w:tc>
        <w:tc>
          <w:tcPr>
            <w:tcW w:w="576" w:type="pct"/>
            <w:tcBorders>
              <w:top w:val="single" w:sz="4" w:space="0" w:color="auto"/>
              <w:left w:val="nil"/>
              <w:bottom w:val="single" w:sz="4" w:space="0" w:color="BFBFBF" w:themeColor="background1" w:themeShade="BF"/>
              <w:right w:val="nil"/>
            </w:tcBorders>
            <w:shd w:val="clear" w:color="auto" w:fill="auto"/>
            <w:noWrap/>
            <w:vAlign w:val="center"/>
            <w:hideMark/>
          </w:tcPr>
          <w:p w14:paraId="3D76F2E8"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2</w:t>
            </w:r>
          </w:p>
        </w:tc>
        <w:tc>
          <w:tcPr>
            <w:tcW w:w="577" w:type="pct"/>
            <w:tcBorders>
              <w:top w:val="single" w:sz="4" w:space="0" w:color="auto"/>
              <w:left w:val="nil"/>
              <w:bottom w:val="single" w:sz="4" w:space="0" w:color="BFBFBF" w:themeColor="background1" w:themeShade="BF"/>
              <w:right w:val="nil"/>
            </w:tcBorders>
            <w:shd w:val="clear" w:color="auto" w:fill="auto"/>
            <w:noWrap/>
            <w:vAlign w:val="center"/>
            <w:hideMark/>
          </w:tcPr>
          <w:p w14:paraId="175187D3"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76</w:t>
            </w:r>
          </w:p>
        </w:tc>
        <w:tc>
          <w:tcPr>
            <w:tcW w:w="576" w:type="pct"/>
            <w:tcBorders>
              <w:top w:val="single" w:sz="4" w:space="0" w:color="auto"/>
              <w:left w:val="nil"/>
              <w:bottom w:val="single" w:sz="4" w:space="0" w:color="BFBFBF" w:themeColor="background1" w:themeShade="BF"/>
              <w:right w:val="nil"/>
            </w:tcBorders>
            <w:shd w:val="clear" w:color="auto" w:fill="auto"/>
            <w:noWrap/>
            <w:vAlign w:val="center"/>
            <w:hideMark/>
          </w:tcPr>
          <w:p w14:paraId="2DD45F74"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20</w:t>
            </w:r>
          </w:p>
        </w:tc>
        <w:tc>
          <w:tcPr>
            <w:tcW w:w="577" w:type="pct"/>
            <w:tcBorders>
              <w:top w:val="single" w:sz="4" w:space="0" w:color="auto"/>
              <w:left w:val="nil"/>
              <w:bottom w:val="single" w:sz="4" w:space="0" w:color="BFBFBF" w:themeColor="background1" w:themeShade="BF"/>
              <w:right w:val="nil"/>
            </w:tcBorders>
            <w:shd w:val="clear" w:color="auto" w:fill="auto"/>
            <w:noWrap/>
            <w:vAlign w:val="center"/>
            <w:hideMark/>
          </w:tcPr>
          <w:p w14:paraId="475EA8A7"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3</w:t>
            </w:r>
          </w:p>
        </w:tc>
        <w:tc>
          <w:tcPr>
            <w:tcW w:w="576" w:type="pct"/>
            <w:tcBorders>
              <w:top w:val="single" w:sz="4" w:space="0" w:color="auto"/>
              <w:left w:val="nil"/>
              <w:bottom w:val="single" w:sz="4" w:space="0" w:color="BFBFBF" w:themeColor="background1" w:themeShade="BF"/>
              <w:right w:val="nil"/>
            </w:tcBorders>
            <w:shd w:val="clear" w:color="auto" w:fill="auto"/>
            <w:noWrap/>
            <w:vAlign w:val="center"/>
            <w:hideMark/>
          </w:tcPr>
          <w:p w14:paraId="1578DB66"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100</w:t>
            </w:r>
          </w:p>
        </w:tc>
      </w:tr>
      <w:tr w:rsidR="0031278D" w:rsidRPr="0068091B" w14:paraId="420A44F5" w14:textId="77777777" w:rsidTr="00570EF7">
        <w:trPr>
          <w:trHeight w:val="285"/>
        </w:trPr>
        <w:tc>
          <w:tcPr>
            <w:tcW w:w="625" w:type="pct"/>
            <w:vMerge/>
            <w:tcBorders>
              <w:top w:val="nil"/>
              <w:left w:val="nil"/>
              <w:bottom w:val="single" w:sz="4" w:space="0" w:color="auto"/>
              <w:right w:val="nil"/>
            </w:tcBorders>
            <w:vAlign w:val="center"/>
            <w:hideMark/>
          </w:tcPr>
          <w:p w14:paraId="1646B215" w14:textId="77777777" w:rsidR="0031278D" w:rsidRPr="0068091B" w:rsidRDefault="0031278D" w:rsidP="00570EF7">
            <w:pPr>
              <w:spacing w:line="240" w:lineRule="auto"/>
              <w:jc w:val="left"/>
              <w:rPr>
                <w:rFonts w:cs="Arial"/>
                <w:color w:val="000000"/>
                <w:sz w:val="22"/>
                <w:szCs w:val="22"/>
                <w:lang w:bidi="ar-SA"/>
              </w:rPr>
            </w:pPr>
          </w:p>
        </w:tc>
        <w:tc>
          <w:tcPr>
            <w:tcW w:w="1493" w:type="pct"/>
            <w:tcBorders>
              <w:top w:val="single" w:sz="4" w:space="0" w:color="BFBFBF" w:themeColor="background1" w:themeShade="BF"/>
              <w:left w:val="nil"/>
              <w:bottom w:val="single" w:sz="4" w:space="0" w:color="auto"/>
              <w:right w:val="nil"/>
            </w:tcBorders>
            <w:shd w:val="clear" w:color="auto" w:fill="auto"/>
            <w:noWrap/>
            <w:vAlign w:val="center"/>
            <w:hideMark/>
          </w:tcPr>
          <w:p w14:paraId="312A82A8" w14:textId="77777777" w:rsidR="0031278D" w:rsidRPr="0068091B" w:rsidRDefault="0031278D" w:rsidP="00570EF7">
            <w:pPr>
              <w:spacing w:line="240" w:lineRule="auto"/>
              <w:jc w:val="left"/>
              <w:rPr>
                <w:rFonts w:cs="Arial"/>
                <w:color w:val="000000"/>
                <w:sz w:val="22"/>
                <w:szCs w:val="22"/>
                <w:lang w:bidi="ar-SA"/>
              </w:rPr>
            </w:pPr>
            <w:r w:rsidRPr="0068091B">
              <w:rPr>
                <w:rFonts w:cs="Arial"/>
                <w:color w:val="000000"/>
                <w:sz w:val="22"/>
                <w:szCs w:val="22"/>
                <w:lang w:bidi="ar-SA"/>
              </w:rPr>
              <w:t>Männlich</w:t>
            </w:r>
          </w:p>
        </w:tc>
        <w:tc>
          <w:tcPr>
            <w:tcW w:w="576" w:type="pct"/>
            <w:tcBorders>
              <w:top w:val="single" w:sz="4" w:space="0" w:color="BFBFBF" w:themeColor="background1" w:themeShade="BF"/>
              <w:left w:val="nil"/>
              <w:bottom w:val="single" w:sz="4" w:space="0" w:color="auto"/>
              <w:right w:val="nil"/>
            </w:tcBorders>
            <w:shd w:val="clear" w:color="auto" w:fill="auto"/>
            <w:noWrap/>
            <w:vAlign w:val="center"/>
            <w:hideMark/>
          </w:tcPr>
          <w:p w14:paraId="46E33542"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4</w:t>
            </w:r>
          </w:p>
        </w:tc>
        <w:tc>
          <w:tcPr>
            <w:tcW w:w="577" w:type="pct"/>
            <w:tcBorders>
              <w:top w:val="single" w:sz="4" w:space="0" w:color="BFBFBF" w:themeColor="background1" w:themeShade="BF"/>
              <w:left w:val="nil"/>
              <w:bottom w:val="single" w:sz="4" w:space="0" w:color="auto"/>
              <w:right w:val="nil"/>
            </w:tcBorders>
            <w:shd w:val="clear" w:color="auto" w:fill="auto"/>
            <w:noWrap/>
            <w:vAlign w:val="center"/>
            <w:hideMark/>
          </w:tcPr>
          <w:p w14:paraId="157EF0BB"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66</w:t>
            </w:r>
          </w:p>
        </w:tc>
        <w:tc>
          <w:tcPr>
            <w:tcW w:w="576" w:type="pct"/>
            <w:tcBorders>
              <w:top w:val="single" w:sz="4" w:space="0" w:color="BFBFBF" w:themeColor="background1" w:themeShade="BF"/>
              <w:left w:val="nil"/>
              <w:bottom w:val="single" w:sz="4" w:space="0" w:color="auto"/>
              <w:right w:val="nil"/>
            </w:tcBorders>
            <w:shd w:val="clear" w:color="auto" w:fill="auto"/>
            <w:noWrap/>
            <w:vAlign w:val="center"/>
            <w:hideMark/>
          </w:tcPr>
          <w:p w14:paraId="41E601E9"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27</w:t>
            </w:r>
          </w:p>
        </w:tc>
        <w:tc>
          <w:tcPr>
            <w:tcW w:w="577" w:type="pct"/>
            <w:tcBorders>
              <w:top w:val="single" w:sz="4" w:space="0" w:color="BFBFBF" w:themeColor="background1" w:themeShade="BF"/>
              <w:left w:val="nil"/>
              <w:bottom w:val="single" w:sz="4" w:space="0" w:color="auto"/>
              <w:right w:val="nil"/>
            </w:tcBorders>
            <w:shd w:val="clear" w:color="auto" w:fill="auto"/>
            <w:noWrap/>
            <w:vAlign w:val="center"/>
            <w:hideMark/>
          </w:tcPr>
          <w:p w14:paraId="2FE42887"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2</w:t>
            </w:r>
          </w:p>
        </w:tc>
        <w:tc>
          <w:tcPr>
            <w:tcW w:w="576" w:type="pct"/>
            <w:tcBorders>
              <w:top w:val="single" w:sz="4" w:space="0" w:color="BFBFBF" w:themeColor="background1" w:themeShade="BF"/>
              <w:left w:val="nil"/>
              <w:bottom w:val="single" w:sz="4" w:space="0" w:color="auto"/>
              <w:right w:val="nil"/>
            </w:tcBorders>
            <w:shd w:val="clear" w:color="auto" w:fill="auto"/>
            <w:noWrap/>
            <w:vAlign w:val="center"/>
            <w:hideMark/>
          </w:tcPr>
          <w:p w14:paraId="5EF3978F"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100</w:t>
            </w:r>
          </w:p>
        </w:tc>
      </w:tr>
      <w:tr w:rsidR="0031278D" w:rsidRPr="0068091B" w14:paraId="77786945" w14:textId="77777777" w:rsidTr="00570EF7">
        <w:trPr>
          <w:trHeight w:val="285"/>
        </w:trPr>
        <w:tc>
          <w:tcPr>
            <w:tcW w:w="625" w:type="pct"/>
            <w:vMerge w:val="restart"/>
            <w:tcBorders>
              <w:top w:val="nil"/>
              <w:left w:val="nil"/>
              <w:bottom w:val="single" w:sz="4" w:space="0" w:color="auto"/>
              <w:right w:val="nil"/>
            </w:tcBorders>
            <w:shd w:val="clear" w:color="auto" w:fill="auto"/>
            <w:noWrap/>
            <w:vAlign w:val="center"/>
            <w:hideMark/>
          </w:tcPr>
          <w:p w14:paraId="1F043616" w14:textId="77777777" w:rsidR="0031278D" w:rsidRPr="0068091B" w:rsidRDefault="0031278D" w:rsidP="00570EF7">
            <w:pPr>
              <w:spacing w:line="240" w:lineRule="auto"/>
              <w:jc w:val="left"/>
              <w:rPr>
                <w:rFonts w:cs="Arial"/>
                <w:color w:val="000000"/>
                <w:sz w:val="22"/>
                <w:szCs w:val="22"/>
                <w:lang w:bidi="ar-SA"/>
              </w:rPr>
            </w:pPr>
            <w:r w:rsidRPr="0068091B">
              <w:rPr>
                <w:rFonts w:cs="Arial"/>
                <w:color w:val="000000"/>
                <w:sz w:val="22"/>
                <w:szCs w:val="22"/>
                <w:lang w:bidi="ar-SA"/>
              </w:rPr>
              <w:t>Alter</w:t>
            </w:r>
          </w:p>
        </w:tc>
        <w:tc>
          <w:tcPr>
            <w:tcW w:w="1493" w:type="pct"/>
            <w:tcBorders>
              <w:top w:val="single" w:sz="4" w:space="0" w:color="auto"/>
              <w:left w:val="nil"/>
              <w:bottom w:val="single" w:sz="4" w:space="0" w:color="BFBFBF" w:themeColor="background1" w:themeShade="BF"/>
              <w:right w:val="nil"/>
            </w:tcBorders>
            <w:shd w:val="clear" w:color="auto" w:fill="auto"/>
            <w:noWrap/>
            <w:vAlign w:val="center"/>
            <w:hideMark/>
          </w:tcPr>
          <w:p w14:paraId="7F9B9D9D" w14:textId="77777777" w:rsidR="0031278D" w:rsidRPr="0068091B" w:rsidRDefault="0031278D" w:rsidP="00570EF7">
            <w:pPr>
              <w:spacing w:line="240" w:lineRule="auto"/>
              <w:jc w:val="left"/>
              <w:rPr>
                <w:rFonts w:cs="Arial"/>
                <w:color w:val="000000"/>
                <w:sz w:val="22"/>
                <w:szCs w:val="22"/>
                <w:lang w:bidi="ar-SA"/>
              </w:rPr>
            </w:pPr>
            <w:r w:rsidRPr="0068091B">
              <w:rPr>
                <w:rFonts w:cs="Arial"/>
                <w:color w:val="000000"/>
                <w:sz w:val="22"/>
                <w:szCs w:val="22"/>
                <w:lang w:bidi="ar-SA"/>
              </w:rPr>
              <w:t>bis 34 Jahre</w:t>
            </w:r>
          </w:p>
        </w:tc>
        <w:tc>
          <w:tcPr>
            <w:tcW w:w="576" w:type="pct"/>
            <w:tcBorders>
              <w:top w:val="single" w:sz="4" w:space="0" w:color="auto"/>
              <w:left w:val="nil"/>
              <w:bottom w:val="single" w:sz="4" w:space="0" w:color="BFBFBF" w:themeColor="background1" w:themeShade="BF"/>
              <w:right w:val="nil"/>
            </w:tcBorders>
            <w:shd w:val="clear" w:color="auto" w:fill="auto"/>
            <w:noWrap/>
            <w:vAlign w:val="center"/>
            <w:hideMark/>
          </w:tcPr>
          <w:p w14:paraId="0FFA9603"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4</w:t>
            </w:r>
          </w:p>
        </w:tc>
        <w:tc>
          <w:tcPr>
            <w:tcW w:w="577" w:type="pct"/>
            <w:tcBorders>
              <w:top w:val="single" w:sz="4" w:space="0" w:color="auto"/>
              <w:left w:val="nil"/>
              <w:bottom w:val="single" w:sz="4" w:space="0" w:color="BFBFBF" w:themeColor="background1" w:themeShade="BF"/>
              <w:right w:val="nil"/>
            </w:tcBorders>
            <w:shd w:val="clear" w:color="auto" w:fill="auto"/>
            <w:noWrap/>
            <w:vAlign w:val="center"/>
            <w:hideMark/>
          </w:tcPr>
          <w:p w14:paraId="1B599BE0"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76</w:t>
            </w:r>
          </w:p>
        </w:tc>
        <w:tc>
          <w:tcPr>
            <w:tcW w:w="576" w:type="pct"/>
            <w:tcBorders>
              <w:top w:val="single" w:sz="4" w:space="0" w:color="auto"/>
              <w:left w:val="nil"/>
              <w:bottom w:val="single" w:sz="4" w:space="0" w:color="BFBFBF" w:themeColor="background1" w:themeShade="BF"/>
              <w:right w:val="nil"/>
            </w:tcBorders>
            <w:shd w:val="clear" w:color="auto" w:fill="auto"/>
            <w:noWrap/>
            <w:vAlign w:val="center"/>
            <w:hideMark/>
          </w:tcPr>
          <w:p w14:paraId="57BDAF59"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15</w:t>
            </w:r>
          </w:p>
        </w:tc>
        <w:tc>
          <w:tcPr>
            <w:tcW w:w="577" w:type="pct"/>
            <w:tcBorders>
              <w:top w:val="single" w:sz="4" w:space="0" w:color="auto"/>
              <w:left w:val="nil"/>
              <w:bottom w:val="single" w:sz="4" w:space="0" w:color="BFBFBF" w:themeColor="background1" w:themeShade="BF"/>
              <w:right w:val="nil"/>
            </w:tcBorders>
            <w:shd w:val="clear" w:color="auto" w:fill="auto"/>
            <w:noWrap/>
            <w:vAlign w:val="center"/>
            <w:hideMark/>
          </w:tcPr>
          <w:p w14:paraId="22FCD468"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5</w:t>
            </w:r>
          </w:p>
        </w:tc>
        <w:tc>
          <w:tcPr>
            <w:tcW w:w="576" w:type="pct"/>
            <w:tcBorders>
              <w:top w:val="single" w:sz="4" w:space="0" w:color="auto"/>
              <w:left w:val="nil"/>
              <w:bottom w:val="single" w:sz="4" w:space="0" w:color="BFBFBF" w:themeColor="background1" w:themeShade="BF"/>
              <w:right w:val="nil"/>
            </w:tcBorders>
            <w:shd w:val="clear" w:color="auto" w:fill="auto"/>
            <w:noWrap/>
            <w:vAlign w:val="center"/>
            <w:hideMark/>
          </w:tcPr>
          <w:p w14:paraId="586D62E9"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100</w:t>
            </w:r>
          </w:p>
        </w:tc>
      </w:tr>
      <w:tr w:rsidR="0031278D" w:rsidRPr="0068091B" w14:paraId="353F4258" w14:textId="77777777" w:rsidTr="00570EF7">
        <w:trPr>
          <w:trHeight w:val="285"/>
        </w:trPr>
        <w:tc>
          <w:tcPr>
            <w:tcW w:w="625" w:type="pct"/>
            <w:vMerge/>
            <w:tcBorders>
              <w:top w:val="nil"/>
              <w:left w:val="nil"/>
              <w:bottom w:val="single" w:sz="4" w:space="0" w:color="auto"/>
              <w:right w:val="nil"/>
            </w:tcBorders>
            <w:vAlign w:val="center"/>
            <w:hideMark/>
          </w:tcPr>
          <w:p w14:paraId="616B7A18" w14:textId="77777777" w:rsidR="0031278D" w:rsidRPr="0068091B" w:rsidRDefault="0031278D" w:rsidP="00570EF7">
            <w:pPr>
              <w:spacing w:line="240" w:lineRule="auto"/>
              <w:jc w:val="left"/>
              <w:rPr>
                <w:rFonts w:cs="Arial"/>
                <w:color w:val="000000"/>
                <w:sz w:val="22"/>
                <w:szCs w:val="22"/>
                <w:lang w:bidi="ar-SA"/>
              </w:rPr>
            </w:pPr>
          </w:p>
        </w:tc>
        <w:tc>
          <w:tcPr>
            <w:tcW w:w="1493" w:type="pct"/>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337D8A3" w14:textId="77777777" w:rsidR="0031278D" w:rsidRPr="0068091B" w:rsidRDefault="0031278D" w:rsidP="00570EF7">
            <w:pPr>
              <w:spacing w:line="240" w:lineRule="auto"/>
              <w:jc w:val="left"/>
              <w:rPr>
                <w:rFonts w:cs="Arial"/>
                <w:color w:val="000000"/>
                <w:sz w:val="22"/>
                <w:szCs w:val="22"/>
                <w:lang w:bidi="ar-SA"/>
              </w:rPr>
            </w:pPr>
            <w:r w:rsidRPr="0068091B">
              <w:rPr>
                <w:rFonts w:cs="Arial"/>
                <w:color w:val="000000"/>
                <w:sz w:val="22"/>
                <w:szCs w:val="22"/>
                <w:lang w:bidi="ar-SA"/>
              </w:rPr>
              <w:t>35 bis 54 Jahre</w:t>
            </w:r>
          </w:p>
        </w:tc>
        <w:tc>
          <w:tcPr>
            <w:tcW w:w="576" w:type="pct"/>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07ED0F6"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3</w:t>
            </w:r>
          </w:p>
        </w:tc>
        <w:tc>
          <w:tcPr>
            <w:tcW w:w="577" w:type="pct"/>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C234EFF"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77</w:t>
            </w:r>
          </w:p>
        </w:tc>
        <w:tc>
          <w:tcPr>
            <w:tcW w:w="576" w:type="pct"/>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19A807A"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18</w:t>
            </w:r>
          </w:p>
        </w:tc>
        <w:tc>
          <w:tcPr>
            <w:tcW w:w="577" w:type="pct"/>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F3F9B1E"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2</w:t>
            </w:r>
          </w:p>
        </w:tc>
        <w:tc>
          <w:tcPr>
            <w:tcW w:w="576" w:type="pct"/>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62E9CB9"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100</w:t>
            </w:r>
          </w:p>
        </w:tc>
      </w:tr>
      <w:tr w:rsidR="0031278D" w:rsidRPr="0068091B" w14:paraId="5729E9F2" w14:textId="77777777" w:rsidTr="00570EF7">
        <w:trPr>
          <w:trHeight w:val="285"/>
        </w:trPr>
        <w:tc>
          <w:tcPr>
            <w:tcW w:w="625" w:type="pct"/>
            <w:vMerge/>
            <w:tcBorders>
              <w:top w:val="nil"/>
              <w:left w:val="nil"/>
              <w:bottom w:val="single" w:sz="4" w:space="0" w:color="auto"/>
              <w:right w:val="nil"/>
            </w:tcBorders>
            <w:vAlign w:val="center"/>
            <w:hideMark/>
          </w:tcPr>
          <w:p w14:paraId="56E0FB57" w14:textId="77777777" w:rsidR="0031278D" w:rsidRPr="0068091B" w:rsidRDefault="0031278D" w:rsidP="00570EF7">
            <w:pPr>
              <w:spacing w:line="240" w:lineRule="auto"/>
              <w:jc w:val="left"/>
              <w:rPr>
                <w:rFonts w:cs="Arial"/>
                <w:color w:val="000000"/>
                <w:sz w:val="22"/>
                <w:szCs w:val="22"/>
                <w:lang w:bidi="ar-SA"/>
              </w:rPr>
            </w:pPr>
          </w:p>
        </w:tc>
        <w:tc>
          <w:tcPr>
            <w:tcW w:w="1493" w:type="pct"/>
            <w:tcBorders>
              <w:top w:val="single" w:sz="4" w:space="0" w:color="BFBFBF" w:themeColor="background1" w:themeShade="BF"/>
              <w:left w:val="nil"/>
              <w:bottom w:val="single" w:sz="4" w:space="0" w:color="auto"/>
              <w:right w:val="nil"/>
            </w:tcBorders>
            <w:shd w:val="clear" w:color="auto" w:fill="auto"/>
            <w:noWrap/>
            <w:vAlign w:val="center"/>
            <w:hideMark/>
          </w:tcPr>
          <w:p w14:paraId="10171C7D" w14:textId="77777777" w:rsidR="0031278D" w:rsidRPr="0068091B" w:rsidRDefault="0031278D" w:rsidP="00570EF7">
            <w:pPr>
              <w:spacing w:line="240" w:lineRule="auto"/>
              <w:jc w:val="left"/>
              <w:rPr>
                <w:rFonts w:cs="Arial"/>
                <w:color w:val="000000"/>
                <w:sz w:val="22"/>
                <w:szCs w:val="22"/>
                <w:lang w:bidi="ar-SA"/>
              </w:rPr>
            </w:pPr>
            <w:r w:rsidRPr="0068091B">
              <w:rPr>
                <w:rFonts w:cs="Arial"/>
                <w:color w:val="000000"/>
                <w:sz w:val="22"/>
                <w:szCs w:val="22"/>
                <w:lang w:bidi="ar-SA"/>
              </w:rPr>
              <w:t>55 Jahre und älter</w:t>
            </w:r>
          </w:p>
        </w:tc>
        <w:tc>
          <w:tcPr>
            <w:tcW w:w="576" w:type="pct"/>
            <w:tcBorders>
              <w:top w:val="single" w:sz="4" w:space="0" w:color="BFBFBF" w:themeColor="background1" w:themeShade="BF"/>
              <w:left w:val="nil"/>
              <w:bottom w:val="single" w:sz="4" w:space="0" w:color="auto"/>
              <w:right w:val="nil"/>
            </w:tcBorders>
            <w:shd w:val="clear" w:color="auto" w:fill="auto"/>
            <w:noWrap/>
            <w:vAlign w:val="center"/>
            <w:hideMark/>
          </w:tcPr>
          <w:p w14:paraId="61AC9FC1"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2</w:t>
            </w:r>
          </w:p>
        </w:tc>
        <w:tc>
          <w:tcPr>
            <w:tcW w:w="577" w:type="pct"/>
            <w:tcBorders>
              <w:top w:val="single" w:sz="4" w:space="0" w:color="BFBFBF" w:themeColor="background1" w:themeShade="BF"/>
              <w:left w:val="nil"/>
              <w:bottom w:val="single" w:sz="4" w:space="0" w:color="auto"/>
              <w:right w:val="nil"/>
            </w:tcBorders>
            <w:shd w:val="clear" w:color="auto" w:fill="auto"/>
            <w:noWrap/>
            <w:vAlign w:val="center"/>
            <w:hideMark/>
          </w:tcPr>
          <w:p w14:paraId="36799FBB"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62</w:t>
            </w:r>
          </w:p>
        </w:tc>
        <w:tc>
          <w:tcPr>
            <w:tcW w:w="576" w:type="pct"/>
            <w:tcBorders>
              <w:top w:val="single" w:sz="4" w:space="0" w:color="BFBFBF" w:themeColor="background1" w:themeShade="BF"/>
              <w:left w:val="nil"/>
              <w:bottom w:val="single" w:sz="4" w:space="0" w:color="auto"/>
              <w:right w:val="nil"/>
            </w:tcBorders>
            <w:shd w:val="clear" w:color="auto" w:fill="auto"/>
            <w:noWrap/>
            <w:vAlign w:val="center"/>
            <w:hideMark/>
          </w:tcPr>
          <w:p w14:paraId="72F1A2FF"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33</w:t>
            </w:r>
          </w:p>
        </w:tc>
        <w:tc>
          <w:tcPr>
            <w:tcW w:w="577" w:type="pct"/>
            <w:tcBorders>
              <w:top w:val="single" w:sz="4" w:space="0" w:color="BFBFBF" w:themeColor="background1" w:themeShade="BF"/>
              <w:left w:val="nil"/>
              <w:bottom w:val="single" w:sz="4" w:space="0" w:color="auto"/>
              <w:right w:val="nil"/>
            </w:tcBorders>
            <w:shd w:val="clear" w:color="auto" w:fill="auto"/>
            <w:noWrap/>
            <w:vAlign w:val="center"/>
            <w:hideMark/>
          </w:tcPr>
          <w:p w14:paraId="3B06F737"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2</w:t>
            </w:r>
          </w:p>
        </w:tc>
        <w:tc>
          <w:tcPr>
            <w:tcW w:w="576" w:type="pct"/>
            <w:tcBorders>
              <w:top w:val="single" w:sz="4" w:space="0" w:color="BFBFBF" w:themeColor="background1" w:themeShade="BF"/>
              <w:left w:val="nil"/>
              <w:bottom w:val="single" w:sz="4" w:space="0" w:color="auto"/>
              <w:right w:val="nil"/>
            </w:tcBorders>
            <w:shd w:val="clear" w:color="auto" w:fill="auto"/>
            <w:noWrap/>
            <w:vAlign w:val="center"/>
            <w:hideMark/>
          </w:tcPr>
          <w:p w14:paraId="1546C616"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100</w:t>
            </w:r>
          </w:p>
        </w:tc>
      </w:tr>
      <w:tr w:rsidR="0031278D" w:rsidRPr="0068091B" w14:paraId="54DD8993" w14:textId="77777777" w:rsidTr="00570EF7">
        <w:trPr>
          <w:trHeight w:val="285"/>
        </w:trPr>
        <w:tc>
          <w:tcPr>
            <w:tcW w:w="625" w:type="pct"/>
            <w:tcBorders>
              <w:top w:val="single" w:sz="4" w:space="0" w:color="auto"/>
              <w:left w:val="nil"/>
              <w:bottom w:val="single" w:sz="4" w:space="0" w:color="auto"/>
              <w:right w:val="nil"/>
            </w:tcBorders>
            <w:shd w:val="clear" w:color="auto" w:fill="auto"/>
            <w:noWrap/>
            <w:vAlign w:val="center"/>
            <w:hideMark/>
          </w:tcPr>
          <w:p w14:paraId="7E00CC57" w14:textId="77777777" w:rsidR="0031278D" w:rsidRPr="0068091B" w:rsidRDefault="0031278D" w:rsidP="00570EF7">
            <w:pPr>
              <w:spacing w:line="240" w:lineRule="auto"/>
              <w:jc w:val="left"/>
              <w:rPr>
                <w:rFonts w:cs="Arial"/>
                <w:color w:val="000000"/>
                <w:sz w:val="22"/>
                <w:szCs w:val="22"/>
                <w:lang w:bidi="ar-SA"/>
              </w:rPr>
            </w:pPr>
            <w:r w:rsidRPr="0068091B">
              <w:rPr>
                <w:rFonts w:cs="Arial"/>
                <w:color w:val="000000"/>
                <w:sz w:val="22"/>
                <w:szCs w:val="22"/>
                <w:lang w:bidi="ar-SA"/>
              </w:rPr>
              <w:t>Gesamt</w:t>
            </w:r>
          </w:p>
        </w:tc>
        <w:tc>
          <w:tcPr>
            <w:tcW w:w="1493" w:type="pct"/>
            <w:tcBorders>
              <w:top w:val="single" w:sz="4" w:space="0" w:color="auto"/>
              <w:left w:val="nil"/>
              <w:bottom w:val="single" w:sz="4" w:space="0" w:color="auto"/>
              <w:right w:val="nil"/>
            </w:tcBorders>
            <w:shd w:val="clear" w:color="auto" w:fill="auto"/>
            <w:noWrap/>
            <w:vAlign w:val="center"/>
            <w:hideMark/>
          </w:tcPr>
          <w:p w14:paraId="7FAC273A" w14:textId="77777777" w:rsidR="0031278D" w:rsidRPr="0068091B" w:rsidRDefault="0031278D" w:rsidP="00570EF7">
            <w:pPr>
              <w:spacing w:line="240" w:lineRule="auto"/>
              <w:jc w:val="left"/>
              <w:rPr>
                <w:rFonts w:cs="Arial"/>
                <w:color w:val="000000"/>
                <w:sz w:val="22"/>
                <w:szCs w:val="22"/>
                <w:lang w:bidi="ar-SA"/>
              </w:rPr>
            </w:pPr>
            <w:r w:rsidRPr="0068091B">
              <w:rPr>
                <w:rFonts w:cs="Arial"/>
                <w:color w:val="000000"/>
                <w:sz w:val="22"/>
                <w:szCs w:val="22"/>
                <w:lang w:bidi="ar-SA"/>
              </w:rPr>
              <w:t> </w:t>
            </w:r>
          </w:p>
        </w:tc>
        <w:tc>
          <w:tcPr>
            <w:tcW w:w="576" w:type="pct"/>
            <w:tcBorders>
              <w:top w:val="single" w:sz="4" w:space="0" w:color="auto"/>
              <w:left w:val="nil"/>
              <w:bottom w:val="single" w:sz="4" w:space="0" w:color="auto"/>
              <w:right w:val="nil"/>
            </w:tcBorders>
            <w:shd w:val="clear" w:color="auto" w:fill="auto"/>
            <w:noWrap/>
            <w:vAlign w:val="center"/>
            <w:hideMark/>
          </w:tcPr>
          <w:p w14:paraId="0A69E591"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3</w:t>
            </w:r>
          </w:p>
        </w:tc>
        <w:tc>
          <w:tcPr>
            <w:tcW w:w="577" w:type="pct"/>
            <w:tcBorders>
              <w:top w:val="single" w:sz="4" w:space="0" w:color="auto"/>
              <w:left w:val="nil"/>
              <w:bottom w:val="single" w:sz="4" w:space="0" w:color="auto"/>
              <w:right w:val="nil"/>
            </w:tcBorders>
            <w:shd w:val="clear" w:color="auto" w:fill="auto"/>
            <w:noWrap/>
            <w:vAlign w:val="center"/>
            <w:hideMark/>
          </w:tcPr>
          <w:p w14:paraId="1B98AB25"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71</w:t>
            </w:r>
          </w:p>
        </w:tc>
        <w:tc>
          <w:tcPr>
            <w:tcW w:w="576" w:type="pct"/>
            <w:tcBorders>
              <w:top w:val="single" w:sz="4" w:space="0" w:color="auto"/>
              <w:left w:val="nil"/>
              <w:bottom w:val="single" w:sz="4" w:space="0" w:color="auto"/>
              <w:right w:val="nil"/>
            </w:tcBorders>
            <w:shd w:val="clear" w:color="auto" w:fill="auto"/>
            <w:noWrap/>
            <w:vAlign w:val="center"/>
            <w:hideMark/>
          </w:tcPr>
          <w:p w14:paraId="4AEA5826"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23</w:t>
            </w:r>
          </w:p>
        </w:tc>
        <w:tc>
          <w:tcPr>
            <w:tcW w:w="577" w:type="pct"/>
            <w:tcBorders>
              <w:top w:val="single" w:sz="4" w:space="0" w:color="auto"/>
              <w:left w:val="nil"/>
              <w:bottom w:val="single" w:sz="4" w:space="0" w:color="auto"/>
              <w:right w:val="nil"/>
            </w:tcBorders>
            <w:shd w:val="clear" w:color="auto" w:fill="auto"/>
            <w:noWrap/>
            <w:vAlign w:val="center"/>
            <w:hideMark/>
          </w:tcPr>
          <w:p w14:paraId="1B447C01"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3</w:t>
            </w:r>
          </w:p>
        </w:tc>
        <w:tc>
          <w:tcPr>
            <w:tcW w:w="576" w:type="pct"/>
            <w:tcBorders>
              <w:top w:val="single" w:sz="4" w:space="0" w:color="auto"/>
              <w:left w:val="nil"/>
              <w:bottom w:val="single" w:sz="4" w:space="0" w:color="auto"/>
              <w:right w:val="nil"/>
            </w:tcBorders>
            <w:shd w:val="clear" w:color="auto" w:fill="auto"/>
            <w:noWrap/>
            <w:vAlign w:val="center"/>
            <w:hideMark/>
          </w:tcPr>
          <w:p w14:paraId="2D55EFCE" w14:textId="77777777" w:rsidR="0031278D" w:rsidRPr="0068091B" w:rsidRDefault="0031278D" w:rsidP="00570EF7">
            <w:pPr>
              <w:spacing w:line="240" w:lineRule="auto"/>
              <w:jc w:val="center"/>
              <w:rPr>
                <w:rFonts w:cs="Arial"/>
                <w:color w:val="000000"/>
                <w:sz w:val="22"/>
                <w:szCs w:val="22"/>
                <w:lang w:bidi="ar-SA"/>
              </w:rPr>
            </w:pPr>
            <w:r w:rsidRPr="0068091B">
              <w:rPr>
                <w:rFonts w:cs="Arial"/>
                <w:color w:val="000000"/>
                <w:sz w:val="22"/>
                <w:szCs w:val="22"/>
                <w:lang w:bidi="ar-SA"/>
              </w:rPr>
              <w:t>100</w:t>
            </w:r>
          </w:p>
        </w:tc>
      </w:tr>
    </w:tbl>
    <w:p w14:paraId="425F9F18" w14:textId="77777777" w:rsidR="002D5CB0" w:rsidRDefault="002D5CB0" w:rsidP="002D5CB0">
      <w:pPr>
        <w:rPr>
          <w:lang w:bidi="ar-SA"/>
        </w:rPr>
      </w:pPr>
      <w:r w:rsidRPr="002D5CB0">
        <w:rPr>
          <w:vertAlign w:val="superscript"/>
          <w:lang w:val="de-DE"/>
        </w:rPr>
        <w:t xml:space="preserve">*) </w:t>
      </w:r>
      <w:r w:rsidRPr="002D5CB0">
        <w:rPr>
          <w:lang w:bidi="ar-SA"/>
        </w:rPr>
        <w:t>J</w:t>
      </w:r>
      <w:r w:rsidRPr="0068091B">
        <w:rPr>
          <w:lang w:bidi="ar-SA"/>
        </w:rPr>
        <w:t xml:space="preserve">a, auch </w:t>
      </w:r>
      <w:r>
        <w:rPr>
          <w:lang w:bidi="ar-SA"/>
        </w:rPr>
        <w:t>bei Verlust der</w:t>
      </w:r>
      <w:r w:rsidRPr="0068091B">
        <w:rPr>
          <w:lang w:bidi="ar-SA"/>
        </w:rPr>
        <w:t xml:space="preserve"> ö</w:t>
      </w:r>
      <w:r>
        <w:rPr>
          <w:lang w:bidi="ar-SA"/>
        </w:rPr>
        <w:t>.</w:t>
      </w:r>
      <w:r w:rsidRPr="0068091B">
        <w:rPr>
          <w:lang w:bidi="ar-SA"/>
        </w:rPr>
        <w:t xml:space="preserve"> Staatsbürger</w:t>
      </w:r>
      <w:r>
        <w:rPr>
          <w:lang w:bidi="ar-SA"/>
        </w:rPr>
        <w:t>schaft</w:t>
      </w:r>
    </w:p>
    <w:p w14:paraId="696732B5" w14:textId="77777777" w:rsidR="002D5CB0" w:rsidRDefault="002D5CB0" w:rsidP="002D5CB0">
      <w:pPr>
        <w:rPr>
          <w:lang w:bidi="ar-SA"/>
        </w:rPr>
      </w:pPr>
      <w:r>
        <w:rPr>
          <w:lang w:bidi="ar-SA"/>
        </w:rPr>
        <w:t xml:space="preserve">**) </w:t>
      </w:r>
      <w:r w:rsidRPr="0068091B">
        <w:rPr>
          <w:lang w:bidi="ar-SA"/>
        </w:rPr>
        <w:t xml:space="preserve">Ja, aber nur </w:t>
      </w:r>
      <w:r>
        <w:rPr>
          <w:lang w:bidi="ar-SA"/>
        </w:rPr>
        <w:t>mit Beibehaltung der</w:t>
      </w:r>
      <w:r w:rsidRPr="0068091B">
        <w:rPr>
          <w:lang w:bidi="ar-SA"/>
        </w:rPr>
        <w:t xml:space="preserve"> ö</w:t>
      </w:r>
      <w:r>
        <w:rPr>
          <w:lang w:bidi="ar-SA"/>
        </w:rPr>
        <w:t>.</w:t>
      </w:r>
      <w:r w:rsidRPr="0068091B">
        <w:rPr>
          <w:lang w:bidi="ar-SA"/>
        </w:rPr>
        <w:t xml:space="preserve"> Staatsbürgerschaft</w:t>
      </w:r>
    </w:p>
    <w:p w14:paraId="2834B417" w14:textId="4ED3EE7A" w:rsidR="002B1075" w:rsidRDefault="007176E9" w:rsidP="002B1075">
      <w:pPr>
        <w:jc w:val="left"/>
        <w:rPr>
          <w:lang w:val="de-DE"/>
        </w:rPr>
      </w:pPr>
      <w:r w:rsidRPr="007902DA">
        <w:rPr>
          <w:lang w:val="de-DE"/>
        </w:rPr>
        <w:t>N=2.152 bis 2.187</w:t>
      </w:r>
    </w:p>
    <w:p w14:paraId="3370AE44" w14:textId="77777777" w:rsidR="007176E9" w:rsidRDefault="007176E9" w:rsidP="002B1075">
      <w:pPr>
        <w:jc w:val="left"/>
        <w:rPr>
          <w:lang w:val="de-DE"/>
        </w:rPr>
      </w:pPr>
    </w:p>
    <w:p w14:paraId="134937FC" w14:textId="77777777" w:rsidR="004E4B3D" w:rsidRDefault="004E4B3D" w:rsidP="002B1075">
      <w:pPr>
        <w:jc w:val="left"/>
        <w:rPr>
          <w:lang w:val="de-DE"/>
        </w:rPr>
      </w:pPr>
    </w:p>
    <w:p w14:paraId="7AF573AB" w14:textId="77777777" w:rsidR="004E4B3D" w:rsidRDefault="004E4B3D" w:rsidP="002B1075">
      <w:pPr>
        <w:jc w:val="left"/>
        <w:rPr>
          <w:lang w:val="de-DE"/>
        </w:rPr>
      </w:pPr>
    </w:p>
    <w:p w14:paraId="57BFB325" w14:textId="77777777" w:rsidR="00C91E85" w:rsidRDefault="002B1075" w:rsidP="00C91E85">
      <w:pPr>
        <w:spacing w:before="240"/>
        <w:jc w:val="left"/>
        <w:rPr>
          <w:lang w:val="de-DE"/>
        </w:rPr>
      </w:pPr>
      <w:r w:rsidRPr="0031278D">
        <w:rPr>
          <w:u w:val="single"/>
          <w:lang w:val="de-DE"/>
        </w:rPr>
        <w:lastRenderedPageBreak/>
        <w:t>Abbildung 4</w:t>
      </w:r>
      <w:r>
        <w:rPr>
          <w:lang w:val="de-DE"/>
        </w:rPr>
        <w:t xml:space="preserve">: </w:t>
      </w:r>
      <w:r w:rsidR="00C91E85" w:rsidRPr="007902DA">
        <w:rPr>
          <w:lang w:val="de-DE"/>
        </w:rPr>
        <w:t>Bereitschaft zur Annahme der Staatsbürgerschaft des Gastlandes</w:t>
      </w:r>
      <w:r w:rsidR="00C91E85">
        <w:rPr>
          <w:lang w:val="de-DE"/>
        </w:rPr>
        <w:t xml:space="preserve"> </w:t>
      </w:r>
      <w:r w:rsidR="00C91E85" w:rsidRPr="007902DA">
        <w:rPr>
          <w:lang w:val="de-DE"/>
        </w:rPr>
        <w:t xml:space="preserve">nach </w:t>
      </w:r>
      <w:r w:rsidR="00C91E85">
        <w:rPr>
          <w:lang w:val="de-DE"/>
        </w:rPr>
        <w:t>A</w:t>
      </w:r>
      <w:r w:rsidR="00C91E85" w:rsidRPr="007902DA">
        <w:rPr>
          <w:lang w:val="de-DE"/>
        </w:rPr>
        <w:t>ufenthalts</w:t>
      </w:r>
      <w:r w:rsidR="00C91E85">
        <w:rPr>
          <w:lang w:val="de-DE"/>
        </w:rPr>
        <w:t>land bzw. -</w:t>
      </w:r>
      <w:r w:rsidR="00C91E85" w:rsidRPr="007902DA">
        <w:rPr>
          <w:lang w:val="de-DE"/>
        </w:rPr>
        <w:t>region</w:t>
      </w:r>
      <w:r w:rsidR="00C91E85">
        <w:rPr>
          <w:lang w:val="de-DE"/>
        </w:rPr>
        <w:t xml:space="preserve"> (</w:t>
      </w:r>
      <w:r w:rsidR="00C91E85" w:rsidRPr="007902DA">
        <w:rPr>
          <w:lang w:val="de-DE"/>
        </w:rPr>
        <w:t>Angaben in Prozent</w:t>
      </w:r>
      <w:r w:rsidR="00C91E85">
        <w:rPr>
          <w:lang w:val="de-DE"/>
        </w:rPr>
        <w:t>)</w:t>
      </w:r>
    </w:p>
    <w:p w14:paraId="34419FF3" w14:textId="3C8BC3D7" w:rsidR="009119A3" w:rsidRDefault="009119A3" w:rsidP="002B1075">
      <w:pPr>
        <w:jc w:val="left"/>
        <w:rPr>
          <w:lang w:val="de-DE"/>
        </w:rPr>
      </w:pPr>
      <w:r>
        <w:rPr>
          <w:noProof/>
          <w:lang w:bidi="ar-SA"/>
        </w:rPr>
        <w:drawing>
          <wp:inline distT="0" distB="0" distL="0" distR="0" wp14:anchorId="58E4DAC8" wp14:editId="25A211BF">
            <wp:extent cx="5759532" cy="3467595"/>
            <wp:effectExtent l="0" t="0" r="0" b="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997E0A" w14:textId="1D8535BA" w:rsidR="00C91E85" w:rsidRDefault="00C91E85" w:rsidP="002B1075">
      <w:pPr>
        <w:jc w:val="left"/>
        <w:rPr>
          <w:lang w:val="de-DE"/>
        </w:rPr>
      </w:pPr>
    </w:p>
    <w:p w14:paraId="70ACA4F9" w14:textId="77777777" w:rsidR="00C91E85" w:rsidRDefault="00C91E85" w:rsidP="007902DA">
      <w:pPr>
        <w:jc w:val="left"/>
        <w:rPr>
          <w:lang w:val="de-DE"/>
        </w:rPr>
      </w:pPr>
    </w:p>
    <w:p w14:paraId="1F00B256" w14:textId="402E0719" w:rsidR="00B562D4" w:rsidRDefault="00124C7D" w:rsidP="007902DA">
      <w:pPr>
        <w:jc w:val="left"/>
        <w:rPr>
          <w:lang w:val="de-DE"/>
        </w:rPr>
      </w:pPr>
      <w:r>
        <w:rPr>
          <w:lang w:val="de-DE"/>
        </w:rPr>
        <w:t>Große Unterschiede zeigen sich in Hinsicht auf das Land, in dem die Befragten leben</w:t>
      </w:r>
      <w:r w:rsidR="002B1075">
        <w:rPr>
          <w:lang w:val="de-DE"/>
        </w:rPr>
        <w:t xml:space="preserve"> (</w:t>
      </w:r>
      <w:r w:rsidR="002B1075" w:rsidRPr="002B1075">
        <w:rPr>
          <w:u w:val="single"/>
          <w:lang w:val="de-DE"/>
        </w:rPr>
        <w:t>Tabelle 6</w:t>
      </w:r>
      <w:r w:rsidR="00C91E85">
        <w:rPr>
          <w:lang w:val="de-DE"/>
        </w:rPr>
        <w:t xml:space="preserve"> und </w:t>
      </w:r>
      <w:r w:rsidR="00C91E85" w:rsidRPr="00C91E85">
        <w:rPr>
          <w:u w:val="single"/>
          <w:lang w:val="de-DE"/>
        </w:rPr>
        <w:t>Abbildung 4)</w:t>
      </w:r>
      <w:r>
        <w:rPr>
          <w:lang w:val="de-DE"/>
        </w:rPr>
        <w:t xml:space="preserve"> </w:t>
      </w:r>
      <w:r w:rsidR="00E7157D">
        <w:rPr>
          <w:lang w:val="de-DE"/>
        </w:rPr>
        <w:t>Beinahe zwei Drittel der Befragten in Afrika sowie im Mittleren Osten haben gar kein Interesse daran, die Staatsbürgerschaft ihres Gas</w:t>
      </w:r>
      <w:r w:rsidR="00E7157D">
        <w:rPr>
          <w:lang w:val="de-DE"/>
        </w:rPr>
        <w:t>t</w:t>
      </w:r>
      <w:r w:rsidR="00E7157D">
        <w:rPr>
          <w:lang w:val="de-DE"/>
        </w:rPr>
        <w:t>landes zu erwerben. Auch die Befragten im Fernen Osten, in Zentral- und Südamer</w:t>
      </w:r>
      <w:r w:rsidR="00E7157D">
        <w:rPr>
          <w:lang w:val="de-DE"/>
        </w:rPr>
        <w:t>i</w:t>
      </w:r>
      <w:r w:rsidR="00E7157D">
        <w:rPr>
          <w:lang w:val="de-DE"/>
        </w:rPr>
        <w:t>ka und auch in Europa haben überdurchschnittlich wenig Interesse am Erwerb der Staatsbürgerschaft des Aufenthaltslandes. Im Unterschied dazu haben über 90% der Befragten in Nordamerika und Australien-Ozeanien Interesse an der Staatsbürge</w:t>
      </w:r>
      <w:r w:rsidR="00E7157D">
        <w:rPr>
          <w:lang w:val="de-DE"/>
        </w:rPr>
        <w:t>r</w:t>
      </w:r>
      <w:r w:rsidR="00E7157D">
        <w:rPr>
          <w:lang w:val="de-DE"/>
        </w:rPr>
        <w:t>schaft ihres jeweiligen Gastlandes</w:t>
      </w:r>
      <w:r>
        <w:rPr>
          <w:lang w:val="de-DE"/>
        </w:rPr>
        <w:t xml:space="preserve"> </w:t>
      </w:r>
    </w:p>
    <w:p w14:paraId="3A5CABB3" w14:textId="30DBFA4C" w:rsidR="002B1075" w:rsidRDefault="002B1075" w:rsidP="007902DA">
      <w:pPr>
        <w:spacing w:before="240"/>
        <w:jc w:val="left"/>
        <w:rPr>
          <w:lang w:val="de-DE"/>
        </w:rPr>
      </w:pPr>
    </w:p>
    <w:p w14:paraId="35635F02" w14:textId="77777777" w:rsidR="004E4B3D" w:rsidRDefault="004E4B3D" w:rsidP="007902DA">
      <w:pPr>
        <w:spacing w:before="240"/>
        <w:jc w:val="left"/>
        <w:rPr>
          <w:lang w:val="de-DE"/>
        </w:rPr>
      </w:pPr>
    </w:p>
    <w:p w14:paraId="40409B2E" w14:textId="77777777" w:rsidR="004E4B3D" w:rsidRDefault="004E4B3D" w:rsidP="007902DA">
      <w:pPr>
        <w:spacing w:before="240"/>
        <w:jc w:val="left"/>
        <w:rPr>
          <w:lang w:val="de-DE"/>
        </w:rPr>
      </w:pPr>
    </w:p>
    <w:p w14:paraId="098E0A2F" w14:textId="77777777" w:rsidR="004E4B3D" w:rsidRDefault="004E4B3D" w:rsidP="007902DA">
      <w:pPr>
        <w:spacing w:before="240"/>
        <w:jc w:val="left"/>
        <w:rPr>
          <w:lang w:val="de-DE"/>
        </w:rPr>
      </w:pPr>
    </w:p>
    <w:p w14:paraId="292951B7" w14:textId="77777777" w:rsidR="004E4B3D" w:rsidRPr="004B0B10" w:rsidRDefault="004E4B3D" w:rsidP="007902DA">
      <w:pPr>
        <w:spacing w:before="240"/>
        <w:jc w:val="left"/>
        <w:rPr>
          <w:lang w:val="de-DE"/>
        </w:rPr>
      </w:pPr>
    </w:p>
    <w:p w14:paraId="2CFD0EF7" w14:textId="6ECA3CE9" w:rsidR="002B1075" w:rsidRDefault="008A5935" w:rsidP="007902DA">
      <w:pPr>
        <w:spacing w:before="240"/>
        <w:jc w:val="left"/>
        <w:rPr>
          <w:lang w:val="de-DE"/>
        </w:rPr>
      </w:pPr>
      <w:r w:rsidRPr="007902DA">
        <w:rPr>
          <w:u w:val="single"/>
          <w:lang w:val="de-DE"/>
        </w:rPr>
        <w:lastRenderedPageBreak/>
        <w:t>Tabelle</w:t>
      </w:r>
      <w:r w:rsidR="007902DA" w:rsidRPr="007902DA">
        <w:rPr>
          <w:u w:val="single"/>
          <w:lang w:val="de-DE"/>
        </w:rPr>
        <w:t xml:space="preserve"> </w:t>
      </w:r>
      <w:r w:rsidR="002B1075">
        <w:rPr>
          <w:u w:val="single"/>
          <w:lang w:val="de-DE"/>
        </w:rPr>
        <w:t>6</w:t>
      </w:r>
      <w:r w:rsidRPr="007902DA">
        <w:rPr>
          <w:lang w:val="de-DE"/>
        </w:rPr>
        <w:t>: Bereitschaft zur Annahme der Staatsbürgerschaft des Gastlandes</w:t>
      </w:r>
      <w:r w:rsidR="002B1075">
        <w:rPr>
          <w:lang w:val="de-DE"/>
        </w:rPr>
        <w:t xml:space="preserve"> </w:t>
      </w:r>
      <w:r w:rsidRPr="007902DA">
        <w:rPr>
          <w:lang w:val="de-DE"/>
        </w:rPr>
        <w:t xml:space="preserve">nach </w:t>
      </w:r>
      <w:r w:rsidR="002B1075">
        <w:rPr>
          <w:lang w:val="de-DE"/>
        </w:rPr>
        <w:t>A</w:t>
      </w:r>
      <w:r w:rsidRPr="007902DA">
        <w:rPr>
          <w:lang w:val="de-DE"/>
        </w:rPr>
        <w:t>ufenthalts</w:t>
      </w:r>
      <w:r w:rsidR="002B1075">
        <w:rPr>
          <w:lang w:val="de-DE"/>
        </w:rPr>
        <w:t>land bzw. -</w:t>
      </w:r>
      <w:r w:rsidRPr="007902DA">
        <w:rPr>
          <w:lang w:val="de-DE"/>
        </w:rPr>
        <w:t>region</w:t>
      </w:r>
      <w:r w:rsidR="002B1075">
        <w:rPr>
          <w:lang w:val="de-DE"/>
        </w:rPr>
        <w:t xml:space="preserve"> (</w:t>
      </w:r>
      <w:r w:rsidRPr="007902DA">
        <w:rPr>
          <w:lang w:val="de-DE"/>
        </w:rPr>
        <w:t>Angaben in Pro</w:t>
      </w:r>
      <w:r w:rsidR="007902DA" w:rsidRPr="007902DA">
        <w:rPr>
          <w:lang w:val="de-DE"/>
        </w:rPr>
        <w:t>zent</w:t>
      </w:r>
      <w:r w:rsidR="002B1075">
        <w:rPr>
          <w:lang w:val="de-DE"/>
        </w:rPr>
        <w:t>)</w:t>
      </w:r>
    </w:p>
    <w:tbl>
      <w:tblPr>
        <w:tblW w:w="5000" w:type="pct"/>
        <w:tblCellMar>
          <w:left w:w="70" w:type="dxa"/>
          <w:right w:w="70" w:type="dxa"/>
        </w:tblCellMar>
        <w:tblLook w:val="04A0" w:firstRow="1" w:lastRow="0" w:firstColumn="1" w:lastColumn="0" w:noHBand="0" w:noVBand="1"/>
      </w:tblPr>
      <w:tblGrid>
        <w:gridCol w:w="3195"/>
        <w:gridCol w:w="1203"/>
        <w:gridCol w:w="1203"/>
        <w:gridCol w:w="1203"/>
        <w:gridCol w:w="1203"/>
        <w:gridCol w:w="1205"/>
      </w:tblGrid>
      <w:tr w:rsidR="004B0B10" w:rsidRPr="004B0B10" w14:paraId="22E9C837" w14:textId="77777777" w:rsidTr="004B0B10">
        <w:trPr>
          <w:trHeight w:val="315"/>
        </w:trPr>
        <w:tc>
          <w:tcPr>
            <w:tcW w:w="5000" w:type="pct"/>
            <w:gridSpan w:val="6"/>
            <w:tcBorders>
              <w:top w:val="nil"/>
              <w:left w:val="nil"/>
              <w:bottom w:val="nil"/>
              <w:right w:val="nil"/>
            </w:tcBorders>
            <w:shd w:val="clear" w:color="auto" w:fill="auto"/>
            <w:noWrap/>
            <w:vAlign w:val="bottom"/>
            <w:hideMark/>
          </w:tcPr>
          <w:p w14:paraId="2084D4F0" w14:textId="77777777" w:rsidR="004B0B10" w:rsidRPr="004B0B10" w:rsidRDefault="004B0B10" w:rsidP="004B0B10">
            <w:pPr>
              <w:spacing w:line="240" w:lineRule="auto"/>
              <w:jc w:val="center"/>
              <w:rPr>
                <w:rFonts w:cs="Arial"/>
                <w:b/>
                <w:bCs/>
                <w:color w:val="000000"/>
                <w:lang w:bidi="ar-SA"/>
              </w:rPr>
            </w:pPr>
            <w:r w:rsidRPr="004B0B10">
              <w:rPr>
                <w:rFonts w:cs="Arial"/>
                <w:b/>
                <w:bCs/>
                <w:color w:val="000000"/>
                <w:lang w:val="de-DE" w:bidi="ar-SA"/>
              </w:rPr>
              <w:t>Bereitschaft zur Annahme der Staatsbürgerschaft des Gastlandes in %</w:t>
            </w:r>
          </w:p>
        </w:tc>
      </w:tr>
      <w:tr w:rsidR="004B0B10" w:rsidRPr="004B0B10" w14:paraId="5EE34E21" w14:textId="77777777" w:rsidTr="004B0B10">
        <w:trPr>
          <w:trHeight w:val="285"/>
        </w:trPr>
        <w:tc>
          <w:tcPr>
            <w:tcW w:w="1734" w:type="pct"/>
            <w:tcBorders>
              <w:top w:val="nil"/>
              <w:left w:val="nil"/>
              <w:bottom w:val="single" w:sz="4" w:space="0" w:color="auto"/>
              <w:right w:val="nil"/>
            </w:tcBorders>
            <w:shd w:val="clear" w:color="auto" w:fill="auto"/>
            <w:noWrap/>
            <w:vAlign w:val="bottom"/>
            <w:hideMark/>
          </w:tcPr>
          <w:p w14:paraId="7DB2B553" w14:textId="77777777" w:rsidR="004B0B10" w:rsidRPr="004B0B10" w:rsidRDefault="004B0B10" w:rsidP="004B0B10">
            <w:pPr>
              <w:spacing w:line="240" w:lineRule="auto"/>
              <w:jc w:val="left"/>
              <w:rPr>
                <w:rFonts w:cs="Arial"/>
                <w:color w:val="000000"/>
                <w:sz w:val="22"/>
                <w:szCs w:val="22"/>
                <w:lang w:bidi="ar-SA"/>
              </w:rPr>
            </w:pPr>
            <w:r w:rsidRPr="004B0B10">
              <w:rPr>
                <w:rFonts w:cs="Arial"/>
                <w:color w:val="000000"/>
                <w:sz w:val="22"/>
                <w:szCs w:val="22"/>
                <w:lang w:bidi="ar-SA"/>
              </w:rPr>
              <w:t> </w:t>
            </w:r>
          </w:p>
        </w:tc>
        <w:tc>
          <w:tcPr>
            <w:tcW w:w="653" w:type="pct"/>
            <w:tcBorders>
              <w:top w:val="nil"/>
              <w:left w:val="nil"/>
              <w:bottom w:val="single" w:sz="4" w:space="0" w:color="auto"/>
              <w:right w:val="nil"/>
            </w:tcBorders>
            <w:shd w:val="clear" w:color="auto" w:fill="auto"/>
            <w:noWrap/>
            <w:vAlign w:val="center"/>
            <w:hideMark/>
          </w:tcPr>
          <w:p w14:paraId="4BE33F11"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Ja*</w:t>
            </w:r>
          </w:p>
        </w:tc>
        <w:tc>
          <w:tcPr>
            <w:tcW w:w="653" w:type="pct"/>
            <w:tcBorders>
              <w:top w:val="nil"/>
              <w:left w:val="nil"/>
              <w:bottom w:val="single" w:sz="4" w:space="0" w:color="auto"/>
              <w:right w:val="nil"/>
            </w:tcBorders>
            <w:shd w:val="clear" w:color="auto" w:fill="auto"/>
            <w:noWrap/>
            <w:vAlign w:val="center"/>
            <w:hideMark/>
          </w:tcPr>
          <w:p w14:paraId="67F74A10"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Ja, aber**</w:t>
            </w:r>
          </w:p>
        </w:tc>
        <w:tc>
          <w:tcPr>
            <w:tcW w:w="653" w:type="pct"/>
            <w:tcBorders>
              <w:top w:val="nil"/>
              <w:left w:val="nil"/>
              <w:bottom w:val="single" w:sz="4" w:space="0" w:color="auto"/>
              <w:right w:val="nil"/>
            </w:tcBorders>
            <w:shd w:val="clear" w:color="auto" w:fill="auto"/>
            <w:noWrap/>
            <w:vAlign w:val="center"/>
            <w:hideMark/>
          </w:tcPr>
          <w:p w14:paraId="14E12E51"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Nein</w:t>
            </w:r>
          </w:p>
        </w:tc>
        <w:tc>
          <w:tcPr>
            <w:tcW w:w="653" w:type="pct"/>
            <w:tcBorders>
              <w:top w:val="nil"/>
              <w:left w:val="nil"/>
              <w:bottom w:val="single" w:sz="4" w:space="0" w:color="auto"/>
              <w:right w:val="nil"/>
            </w:tcBorders>
            <w:shd w:val="clear" w:color="auto" w:fill="auto"/>
            <w:noWrap/>
            <w:vAlign w:val="center"/>
            <w:hideMark/>
          </w:tcPr>
          <w:p w14:paraId="1DBA9F7C"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Weiß nicht</w:t>
            </w:r>
          </w:p>
        </w:tc>
        <w:tc>
          <w:tcPr>
            <w:tcW w:w="653" w:type="pct"/>
            <w:tcBorders>
              <w:top w:val="nil"/>
              <w:left w:val="nil"/>
              <w:bottom w:val="single" w:sz="4" w:space="0" w:color="auto"/>
              <w:right w:val="nil"/>
            </w:tcBorders>
            <w:shd w:val="clear" w:color="auto" w:fill="auto"/>
            <w:noWrap/>
            <w:vAlign w:val="center"/>
            <w:hideMark/>
          </w:tcPr>
          <w:p w14:paraId="1B852B85"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Gesamt</w:t>
            </w:r>
          </w:p>
        </w:tc>
      </w:tr>
      <w:tr w:rsidR="004B0B10" w:rsidRPr="004B0B10" w14:paraId="4B3FC943" w14:textId="77777777" w:rsidTr="004B0B10">
        <w:trPr>
          <w:trHeight w:val="285"/>
        </w:trPr>
        <w:tc>
          <w:tcPr>
            <w:tcW w:w="1734" w:type="pct"/>
            <w:tcBorders>
              <w:top w:val="nil"/>
              <w:left w:val="nil"/>
              <w:bottom w:val="single" w:sz="4" w:space="0" w:color="auto"/>
              <w:right w:val="nil"/>
            </w:tcBorders>
            <w:shd w:val="clear" w:color="auto" w:fill="auto"/>
            <w:noWrap/>
            <w:vAlign w:val="center"/>
            <w:hideMark/>
          </w:tcPr>
          <w:p w14:paraId="51392666" w14:textId="77777777" w:rsidR="004B0B10" w:rsidRPr="004B0B10" w:rsidRDefault="004B0B10" w:rsidP="004B0B10">
            <w:pPr>
              <w:spacing w:line="240" w:lineRule="auto"/>
              <w:jc w:val="left"/>
              <w:rPr>
                <w:rFonts w:cs="Arial"/>
                <w:color w:val="000000"/>
                <w:sz w:val="22"/>
                <w:szCs w:val="22"/>
                <w:lang w:bidi="ar-SA"/>
              </w:rPr>
            </w:pPr>
            <w:r w:rsidRPr="004B0B10">
              <w:rPr>
                <w:rFonts w:cs="Arial"/>
                <w:color w:val="000000"/>
                <w:sz w:val="22"/>
                <w:szCs w:val="22"/>
                <w:lang w:bidi="ar-SA"/>
              </w:rPr>
              <w:t>Europa: EU</w:t>
            </w:r>
          </w:p>
        </w:tc>
        <w:tc>
          <w:tcPr>
            <w:tcW w:w="653" w:type="pct"/>
            <w:tcBorders>
              <w:top w:val="nil"/>
              <w:left w:val="nil"/>
              <w:bottom w:val="single" w:sz="4" w:space="0" w:color="auto"/>
              <w:right w:val="nil"/>
            </w:tcBorders>
            <w:shd w:val="clear" w:color="auto" w:fill="auto"/>
            <w:noWrap/>
            <w:vAlign w:val="center"/>
            <w:hideMark/>
          </w:tcPr>
          <w:p w14:paraId="1882EBCD"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2</w:t>
            </w:r>
          </w:p>
        </w:tc>
        <w:tc>
          <w:tcPr>
            <w:tcW w:w="653" w:type="pct"/>
            <w:tcBorders>
              <w:top w:val="nil"/>
              <w:left w:val="nil"/>
              <w:bottom w:val="single" w:sz="4" w:space="0" w:color="auto"/>
              <w:right w:val="nil"/>
            </w:tcBorders>
            <w:shd w:val="clear" w:color="auto" w:fill="auto"/>
            <w:noWrap/>
            <w:vAlign w:val="center"/>
            <w:hideMark/>
          </w:tcPr>
          <w:p w14:paraId="719CDBA8"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59</w:t>
            </w:r>
          </w:p>
        </w:tc>
        <w:tc>
          <w:tcPr>
            <w:tcW w:w="653" w:type="pct"/>
            <w:tcBorders>
              <w:top w:val="nil"/>
              <w:left w:val="nil"/>
              <w:bottom w:val="single" w:sz="4" w:space="0" w:color="auto"/>
              <w:right w:val="nil"/>
            </w:tcBorders>
            <w:shd w:val="clear" w:color="auto" w:fill="auto"/>
            <w:noWrap/>
            <w:vAlign w:val="center"/>
            <w:hideMark/>
          </w:tcPr>
          <w:p w14:paraId="29A3A11C"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35</w:t>
            </w:r>
          </w:p>
        </w:tc>
        <w:tc>
          <w:tcPr>
            <w:tcW w:w="653" w:type="pct"/>
            <w:tcBorders>
              <w:top w:val="nil"/>
              <w:left w:val="nil"/>
              <w:bottom w:val="single" w:sz="4" w:space="0" w:color="auto"/>
              <w:right w:val="nil"/>
            </w:tcBorders>
            <w:shd w:val="clear" w:color="auto" w:fill="auto"/>
            <w:noWrap/>
            <w:vAlign w:val="center"/>
            <w:hideMark/>
          </w:tcPr>
          <w:p w14:paraId="05688A5D"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3</w:t>
            </w:r>
          </w:p>
        </w:tc>
        <w:tc>
          <w:tcPr>
            <w:tcW w:w="653" w:type="pct"/>
            <w:tcBorders>
              <w:top w:val="nil"/>
              <w:left w:val="nil"/>
              <w:bottom w:val="single" w:sz="4" w:space="0" w:color="auto"/>
              <w:right w:val="nil"/>
            </w:tcBorders>
            <w:shd w:val="clear" w:color="auto" w:fill="auto"/>
            <w:noWrap/>
            <w:vAlign w:val="center"/>
            <w:hideMark/>
          </w:tcPr>
          <w:p w14:paraId="1690C770"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100</w:t>
            </w:r>
          </w:p>
        </w:tc>
      </w:tr>
      <w:tr w:rsidR="004B0B10" w:rsidRPr="004B0B10" w14:paraId="395863B3" w14:textId="77777777" w:rsidTr="004B0B10">
        <w:trPr>
          <w:trHeight w:val="285"/>
        </w:trPr>
        <w:tc>
          <w:tcPr>
            <w:tcW w:w="1734" w:type="pct"/>
            <w:tcBorders>
              <w:top w:val="nil"/>
              <w:left w:val="nil"/>
              <w:bottom w:val="single" w:sz="4" w:space="0" w:color="auto"/>
              <w:right w:val="nil"/>
            </w:tcBorders>
            <w:shd w:val="clear" w:color="auto" w:fill="auto"/>
            <w:noWrap/>
            <w:vAlign w:val="center"/>
            <w:hideMark/>
          </w:tcPr>
          <w:p w14:paraId="6918E44E" w14:textId="77777777" w:rsidR="004B0B10" w:rsidRPr="004B0B10" w:rsidRDefault="004B0B10" w:rsidP="004B0B10">
            <w:pPr>
              <w:spacing w:line="240" w:lineRule="auto"/>
              <w:jc w:val="left"/>
              <w:rPr>
                <w:rFonts w:cs="Arial"/>
                <w:color w:val="000000"/>
                <w:sz w:val="22"/>
                <w:szCs w:val="22"/>
                <w:lang w:bidi="ar-SA"/>
              </w:rPr>
            </w:pPr>
            <w:r w:rsidRPr="004B0B10">
              <w:rPr>
                <w:rFonts w:cs="Arial"/>
                <w:color w:val="000000"/>
                <w:sz w:val="22"/>
                <w:szCs w:val="22"/>
                <w:lang w:bidi="ar-SA"/>
              </w:rPr>
              <w:t>Europa: Nicht EU</w:t>
            </w:r>
          </w:p>
        </w:tc>
        <w:tc>
          <w:tcPr>
            <w:tcW w:w="653" w:type="pct"/>
            <w:tcBorders>
              <w:top w:val="nil"/>
              <w:left w:val="nil"/>
              <w:bottom w:val="single" w:sz="4" w:space="0" w:color="auto"/>
              <w:right w:val="nil"/>
            </w:tcBorders>
            <w:shd w:val="clear" w:color="auto" w:fill="auto"/>
            <w:noWrap/>
            <w:vAlign w:val="center"/>
            <w:hideMark/>
          </w:tcPr>
          <w:p w14:paraId="7AFB83C9"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5</w:t>
            </w:r>
          </w:p>
        </w:tc>
        <w:tc>
          <w:tcPr>
            <w:tcW w:w="653" w:type="pct"/>
            <w:tcBorders>
              <w:top w:val="nil"/>
              <w:left w:val="nil"/>
              <w:bottom w:val="single" w:sz="4" w:space="0" w:color="auto"/>
              <w:right w:val="nil"/>
            </w:tcBorders>
            <w:shd w:val="clear" w:color="auto" w:fill="auto"/>
            <w:noWrap/>
            <w:vAlign w:val="center"/>
            <w:hideMark/>
          </w:tcPr>
          <w:p w14:paraId="1DFBB51A"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74</w:t>
            </w:r>
          </w:p>
        </w:tc>
        <w:tc>
          <w:tcPr>
            <w:tcW w:w="653" w:type="pct"/>
            <w:tcBorders>
              <w:top w:val="nil"/>
              <w:left w:val="nil"/>
              <w:bottom w:val="single" w:sz="4" w:space="0" w:color="auto"/>
              <w:right w:val="nil"/>
            </w:tcBorders>
            <w:shd w:val="clear" w:color="auto" w:fill="auto"/>
            <w:noWrap/>
            <w:vAlign w:val="center"/>
            <w:hideMark/>
          </w:tcPr>
          <w:p w14:paraId="5C5F5C51"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19</w:t>
            </w:r>
          </w:p>
        </w:tc>
        <w:tc>
          <w:tcPr>
            <w:tcW w:w="653" w:type="pct"/>
            <w:tcBorders>
              <w:top w:val="nil"/>
              <w:left w:val="nil"/>
              <w:bottom w:val="single" w:sz="4" w:space="0" w:color="auto"/>
              <w:right w:val="nil"/>
            </w:tcBorders>
            <w:shd w:val="clear" w:color="auto" w:fill="auto"/>
            <w:noWrap/>
            <w:vAlign w:val="center"/>
            <w:hideMark/>
          </w:tcPr>
          <w:p w14:paraId="51658044"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2</w:t>
            </w:r>
          </w:p>
        </w:tc>
        <w:tc>
          <w:tcPr>
            <w:tcW w:w="653" w:type="pct"/>
            <w:tcBorders>
              <w:top w:val="nil"/>
              <w:left w:val="nil"/>
              <w:bottom w:val="single" w:sz="4" w:space="0" w:color="auto"/>
              <w:right w:val="nil"/>
            </w:tcBorders>
            <w:shd w:val="clear" w:color="auto" w:fill="auto"/>
            <w:noWrap/>
            <w:vAlign w:val="center"/>
            <w:hideMark/>
          </w:tcPr>
          <w:p w14:paraId="3DF69FAC"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100</w:t>
            </w:r>
          </w:p>
        </w:tc>
      </w:tr>
      <w:tr w:rsidR="004B0B10" w:rsidRPr="004B0B10" w14:paraId="43F1A108" w14:textId="77777777" w:rsidTr="004B0B10">
        <w:trPr>
          <w:trHeight w:val="285"/>
        </w:trPr>
        <w:tc>
          <w:tcPr>
            <w:tcW w:w="1734" w:type="pct"/>
            <w:tcBorders>
              <w:top w:val="nil"/>
              <w:left w:val="nil"/>
              <w:bottom w:val="single" w:sz="4" w:space="0" w:color="auto"/>
              <w:right w:val="nil"/>
            </w:tcBorders>
            <w:shd w:val="clear" w:color="auto" w:fill="auto"/>
            <w:noWrap/>
            <w:vAlign w:val="center"/>
            <w:hideMark/>
          </w:tcPr>
          <w:p w14:paraId="0EF5982E" w14:textId="77777777" w:rsidR="004B0B10" w:rsidRPr="004B0B10" w:rsidRDefault="004B0B10" w:rsidP="004B0B10">
            <w:pPr>
              <w:spacing w:line="240" w:lineRule="auto"/>
              <w:jc w:val="left"/>
              <w:rPr>
                <w:rFonts w:cs="Arial"/>
                <w:color w:val="000000"/>
                <w:sz w:val="22"/>
                <w:szCs w:val="22"/>
                <w:lang w:bidi="ar-SA"/>
              </w:rPr>
            </w:pPr>
            <w:r w:rsidRPr="004B0B10">
              <w:rPr>
                <w:rFonts w:cs="Arial"/>
                <w:color w:val="000000"/>
                <w:sz w:val="22"/>
                <w:szCs w:val="22"/>
                <w:lang w:bidi="ar-SA"/>
              </w:rPr>
              <w:t>UK</w:t>
            </w:r>
          </w:p>
        </w:tc>
        <w:tc>
          <w:tcPr>
            <w:tcW w:w="653" w:type="pct"/>
            <w:tcBorders>
              <w:top w:val="nil"/>
              <w:left w:val="nil"/>
              <w:bottom w:val="single" w:sz="4" w:space="0" w:color="auto"/>
              <w:right w:val="nil"/>
            </w:tcBorders>
            <w:shd w:val="clear" w:color="auto" w:fill="auto"/>
            <w:noWrap/>
            <w:vAlign w:val="center"/>
            <w:hideMark/>
          </w:tcPr>
          <w:p w14:paraId="7EDBE17E"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1</w:t>
            </w:r>
          </w:p>
        </w:tc>
        <w:tc>
          <w:tcPr>
            <w:tcW w:w="653" w:type="pct"/>
            <w:tcBorders>
              <w:top w:val="nil"/>
              <w:left w:val="nil"/>
              <w:bottom w:val="single" w:sz="4" w:space="0" w:color="auto"/>
              <w:right w:val="nil"/>
            </w:tcBorders>
            <w:shd w:val="clear" w:color="auto" w:fill="auto"/>
            <w:noWrap/>
            <w:vAlign w:val="center"/>
            <w:hideMark/>
          </w:tcPr>
          <w:p w14:paraId="5466953C"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87</w:t>
            </w:r>
          </w:p>
        </w:tc>
        <w:tc>
          <w:tcPr>
            <w:tcW w:w="653" w:type="pct"/>
            <w:tcBorders>
              <w:top w:val="nil"/>
              <w:left w:val="nil"/>
              <w:bottom w:val="single" w:sz="4" w:space="0" w:color="auto"/>
              <w:right w:val="nil"/>
            </w:tcBorders>
            <w:shd w:val="clear" w:color="auto" w:fill="auto"/>
            <w:noWrap/>
            <w:vAlign w:val="center"/>
            <w:hideMark/>
          </w:tcPr>
          <w:p w14:paraId="7E77FF60"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9</w:t>
            </w:r>
          </w:p>
        </w:tc>
        <w:tc>
          <w:tcPr>
            <w:tcW w:w="653" w:type="pct"/>
            <w:tcBorders>
              <w:top w:val="nil"/>
              <w:left w:val="nil"/>
              <w:bottom w:val="single" w:sz="4" w:space="0" w:color="auto"/>
              <w:right w:val="nil"/>
            </w:tcBorders>
            <w:shd w:val="clear" w:color="auto" w:fill="auto"/>
            <w:noWrap/>
            <w:vAlign w:val="center"/>
            <w:hideMark/>
          </w:tcPr>
          <w:p w14:paraId="5C8D0B3F"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3</w:t>
            </w:r>
          </w:p>
        </w:tc>
        <w:tc>
          <w:tcPr>
            <w:tcW w:w="653" w:type="pct"/>
            <w:tcBorders>
              <w:top w:val="nil"/>
              <w:left w:val="nil"/>
              <w:bottom w:val="single" w:sz="4" w:space="0" w:color="auto"/>
              <w:right w:val="nil"/>
            </w:tcBorders>
            <w:shd w:val="clear" w:color="auto" w:fill="auto"/>
            <w:noWrap/>
            <w:vAlign w:val="center"/>
            <w:hideMark/>
          </w:tcPr>
          <w:p w14:paraId="29F55604"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100</w:t>
            </w:r>
          </w:p>
        </w:tc>
      </w:tr>
      <w:tr w:rsidR="004B0B10" w:rsidRPr="004B0B10" w14:paraId="0AB04940" w14:textId="77777777" w:rsidTr="004B0B10">
        <w:trPr>
          <w:trHeight w:val="285"/>
        </w:trPr>
        <w:tc>
          <w:tcPr>
            <w:tcW w:w="1734" w:type="pct"/>
            <w:tcBorders>
              <w:top w:val="nil"/>
              <w:left w:val="nil"/>
              <w:bottom w:val="single" w:sz="4" w:space="0" w:color="auto"/>
              <w:right w:val="nil"/>
            </w:tcBorders>
            <w:shd w:val="clear" w:color="auto" w:fill="auto"/>
            <w:noWrap/>
            <w:vAlign w:val="center"/>
            <w:hideMark/>
          </w:tcPr>
          <w:p w14:paraId="27BB97FC" w14:textId="77777777" w:rsidR="004B0B10" w:rsidRPr="004B0B10" w:rsidRDefault="004B0B10" w:rsidP="004B0B10">
            <w:pPr>
              <w:spacing w:line="240" w:lineRule="auto"/>
              <w:jc w:val="left"/>
              <w:rPr>
                <w:rFonts w:cs="Arial"/>
                <w:color w:val="000000"/>
                <w:sz w:val="22"/>
                <w:szCs w:val="22"/>
                <w:lang w:bidi="ar-SA"/>
              </w:rPr>
            </w:pPr>
            <w:r w:rsidRPr="004B0B10">
              <w:rPr>
                <w:rFonts w:cs="Arial"/>
                <w:color w:val="000000"/>
                <w:sz w:val="22"/>
                <w:szCs w:val="22"/>
                <w:lang w:bidi="ar-SA"/>
              </w:rPr>
              <w:t>Nordamerika</w:t>
            </w:r>
          </w:p>
        </w:tc>
        <w:tc>
          <w:tcPr>
            <w:tcW w:w="653" w:type="pct"/>
            <w:tcBorders>
              <w:top w:val="nil"/>
              <w:left w:val="nil"/>
              <w:bottom w:val="single" w:sz="4" w:space="0" w:color="auto"/>
              <w:right w:val="nil"/>
            </w:tcBorders>
            <w:shd w:val="clear" w:color="auto" w:fill="auto"/>
            <w:noWrap/>
            <w:vAlign w:val="center"/>
            <w:hideMark/>
          </w:tcPr>
          <w:p w14:paraId="62C25D7C"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7</w:t>
            </w:r>
          </w:p>
        </w:tc>
        <w:tc>
          <w:tcPr>
            <w:tcW w:w="653" w:type="pct"/>
            <w:tcBorders>
              <w:top w:val="nil"/>
              <w:left w:val="nil"/>
              <w:bottom w:val="single" w:sz="4" w:space="0" w:color="auto"/>
              <w:right w:val="nil"/>
            </w:tcBorders>
            <w:shd w:val="clear" w:color="auto" w:fill="auto"/>
            <w:noWrap/>
            <w:vAlign w:val="center"/>
            <w:hideMark/>
          </w:tcPr>
          <w:p w14:paraId="55894E10"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86</w:t>
            </w:r>
          </w:p>
        </w:tc>
        <w:tc>
          <w:tcPr>
            <w:tcW w:w="653" w:type="pct"/>
            <w:tcBorders>
              <w:top w:val="nil"/>
              <w:left w:val="nil"/>
              <w:bottom w:val="single" w:sz="4" w:space="0" w:color="auto"/>
              <w:right w:val="nil"/>
            </w:tcBorders>
            <w:shd w:val="clear" w:color="auto" w:fill="auto"/>
            <w:noWrap/>
            <w:vAlign w:val="center"/>
            <w:hideMark/>
          </w:tcPr>
          <w:p w14:paraId="0F84AADC"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6</w:t>
            </w:r>
          </w:p>
        </w:tc>
        <w:tc>
          <w:tcPr>
            <w:tcW w:w="653" w:type="pct"/>
            <w:tcBorders>
              <w:top w:val="nil"/>
              <w:left w:val="nil"/>
              <w:bottom w:val="single" w:sz="4" w:space="0" w:color="auto"/>
              <w:right w:val="nil"/>
            </w:tcBorders>
            <w:shd w:val="clear" w:color="auto" w:fill="auto"/>
            <w:noWrap/>
            <w:vAlign w:val="center"/>
            <w:hideMark/>
          </w:tcPr>
          <w:p w14:paraId="6F9B74BD"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2</w:t>
            </w:r>
          </w:p>
        </w:tc>
        <w:tc>
          <w:tcPr>
            <w:tcW w:w="653" w:type="pct"/>
            <w:tcBorders>
              <w:top w:val="nil"/>
              <w:left w:val="nil"/>
              <w:bottom w:val="single" w:sz="4" w:space="0" w:color="auto"/>
              <w:right w:val="nil"/>
            </w:tcBorders>
            <w:shd w:val="clear" w:color="auto" w:fill="auto"/>
            <w:noWrap/>
            <w:vAlign w:val="center"/>
            <w:hideMark/>
          </w:tcPr>
          <w:p w14:paraId="39DA670E"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100</w:t>
            </w:r>
          </w:p>
        </w:tc>
      </w:tr>
      <w:tr w:rsidR="004B0B10" w:rsidRPr="004B0B10" w14:paraId="25FD9613" w14:textId="77777777" w:rsidTr="004B0B10">
        <w:trPr>
          <w:trHeight w:val="285"/>
        </w:trPr>
        <w:tc>
          <w:tcPr>
            <w:tcW w:w="1734" w:type="pct"/>
            <w:tcBorders>
              <w:top w:val="nil"/>
              <w:left w:val="nil"/>
              <w:bottom w:val="single" w:sz="4" w:space="0" w:color="auto"/>
              <w:right w:val="nil"/>
            </w:tcBorders>
            <w:shd w:val="clear" w:color="auto" w:fill="auto"/>
            <w:noWrap/>
            <w:vAlign w:val="center"/>
            <w:hideMark/>
          </w:tcPr>
          <w:p w14:paraId="27F6C277" w14:textId="77777777" w:rsidR="004B0B10" w:rsidRPr="004B0B10" w:rsidRDefault="004B0B10" w:rsidP="004B0B10">
            <w:pPr>
              <w:spacing w:line="240" w:lineRule="auto"/>
              <w:jc w:val="left"/>
              <w:rPr>
                <w:rFonts w:cs="Arial"/>
                <w:color w:val="000000"/>
                <w:sz w:val="22"/>
                <w:szCs w:val="22"/>
                <w:lang w:bidi="ar-SA"/>
              </w:rPr>
            </w:pPr>
            <w:r w:rsidRPr="004B0B10">
              <w:rPr>
                <w:rFonts w:cs="Arial"/>
                <w:color w:val="000000"/>
                <w:sz w:val="22"/>
                <w:szCs w:val="22"/>
                <w:lang w:bidi="ar-SA"/>
              </w:rPr>
              <w:t>Südamerika</w:t>
            </w:r>
          </w:p>
        </w:tc>
        <w:tc>
          <w:tcPr>
            <w:tcW w:w="653" w:type="pct"/>
            <w:tcBorders>
              <w:top w:val="nil"/>
              <w:left w:val="nil"/>
              <w:bottom w:val="single" w:sz="4" w:space="0" w:color="auto"/>
              <w:right w:val="nil"/>
            </w:tcBorders>
            <w:shd w:val="clear" w:color="auto" w:fill="auto"/>
            <w:noWrap/>
            <w:vAlign w:val="center"/>
            <w:hideMark/>
          </w:tcPr>
          <w:p w14:paraId="408F1B22"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0</w:t>
            </w:r>
          </w:p>
        </w:tc>
        <w:tc>
          <w:tcPr>
            <w:tcW w:w="653" w:type="pct"/>
            <w:tcBorders>
              <w:top w:val="nil"/>
              <w:left w:val="nil"/>
              <w:bottom w:val="single" w:sz="4" w:space="0" w:color="auto"/>
              <w:right w:val="nil"/>
            </w:tcBorders>
            <w:shd w:val="clear" w:color="auto" w:fill="auto"/>
            <w:noWrap/>
            <w:vAlign w:val="center"/>
            <w:hideMark/>
          </w:tcPr>
          <w:p w14:paraId="4D10C144"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59</w:t>
            </w:r>
          </w:p>
        </w:tc>
        <w:tc>
          <w:tcPr>
            <w:tcW w:w="653" w:type="pct"/>
            <w:tcBorders>
              <w:top w:val="nil"/>
              <w:left w:val="nil"/>
              <w:bottom w:val="single" w:sz="4" w:space="0" w:color="auto"/>
              <w:right w:val="nil"/>
            </w:tcBorders>
            <w:shd w:val="clear" w:color="auto" w:fill="auto"/>
            <w:noWrap/>
            <w:vAlign w:val="center"/>
            <w:hideMark/>
          </w:tcPr>
          <w:p w14:paraId="16D32659"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37</w:t>
            </w:r>
          </w:p>
        </w:tc>
        <w:tc>
          <w:tcPr>
            <w:tcW w:w="653" w:type="pct"/>
            <w:tcBorders>
              <w:top w:val="nil"/>
              <w:left w:val="nil"/>
              <w:bottom w:val="single" w:sz="4" w:space="0" w:color="auto"/>
              <w:right w:val="nil"/>
            </w:tcBorders>
            <w:shd w:val="clear" w:color="auto" w:fill="auto"/>
            <w:noWrap/>
            <w:vAlign w:val="center"/>
            <w:hideMark/>
          </w:tcPr>
          <w:p w14:paraId="3D72D33D"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5</w:t>
            </w:r>
          </w:p>
        </w:tc>
        <w:tc>
          <w:tcPr>
            <w:tcW w:w="653" w:type="pct"/>
            <w:tcBorders>
              <w:top w:val="nil"/>
              <w:left w:val="nil"/>
              <w:bottom w:val="single" w:sz="4" w:space="0" w:color="auto"/>
              <w:right w:val="nil"/>
            </w:tcBorders>
            <w:shd w:val="clear" w:color="auto" w:fill="auto"/>
            <w:noWrap/>
            <w:vAlign w:val="center"/>
            <w:hideMark/>
          </w:tcPr>
          <w:p w14:paraId="791E99C2"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100</w:t>
            </w:r>
          </w:p>
        </w:tc>
      </w:tr>
      <w:tr w:rsidR="004B0B10" w:rsidRPr="004B0B10" w14:paraId="0C19E3C1" w14:textId="77777777" w:rsidTr="004B0B10">
        <w:trPr>
          <w:trHeight w:val="285"/>
        </w:trPr>
        <w:tc>
          <w:tcPr>
            <w:tcW w:w="1734" w:type="pct"/>
            <w:tcBorders>
              <w:top w:val="nil"/>
              <w:left w:val="nil"/>
              <w:bottom w:val="single" w:sz="4" w:space="0" w:color="auto"/>
              <w:right w:val="nil"/>
            </w:tcBorders>
            <w:shd w:val="clear" w:color="auto" w:fill="auto"/>
            <w:noWrap/>
            <w:vAlign w:val="center"/>
            <w:hideMark/>
          </w:tcPr>
          <w:p w14:paraId="0C730E47" w14:textId="77777777" w:rsidR="004B0B10" w:rsidRPr="004B0B10" w:rsidRDefault="004B0B10" w:rsidP="004B0B10">
            <w:pPr>
              <w:spacing w:line="240" w:lineRule="auto"/>
              <w:jc w:val="left"/>
              <w:rPr>
                <w:rFonts w:cs="Arial"/>
                <w:color w:val="000000"/>
                <w:sz w:val="22"/>
                <w:szCs w:val="22"/>
                <w:lang w:bidi="ar-SA"/>
              </w:rPr>
            </w:pPr>
            <w:r w:rsidRPr="004B0B10">
              <w:rPr>
                <w:rFonts w:cs="Arial"/>
                <w:color w:val="000000"/>
                <w:sz w:val="22"/>
                <w:szCs w:val="22"/>
                <w:lang w:bidi="ar-SA"/>
              </w:rPr>
              <w:t>Zentralamerika</w:t>
            </w:r>
          </w:p>
        </w:tc>
        <w:tc>
          <w:tcPr>
            <w:tcW w:w="653" w:type="pct"/>
            <w:tcBorders>
              <w:top w:val="nil"/>
              <w:left w:val="nil"/>
              <w:bottom w:val="single" w:sz="4" w:space="0" w:color="auto"/>
              <w:right w:val="nil"/>
            </w:tcBorders>
            <w:shd w:val="clear" w:color="auto" w:fill="auto"/>
            <w:noWrap/>
            <w:vAlign w:val="center"/>
            <w:hideMark/>
          </w:tcPr>
          <w:p w14:paraId="34F77630"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0</w:t>
            </w:r>
          </w:p>
        </w:tc>
        <w:tc>
          <w:tcPr>
            <w:tcW w:w="653" w:type="pct"/>
            <w:tcBorders>
              <w:top w:val="nil"/>
              <w:left w:val="nil"/>
              <w:bottom w:val="single" w:sz="4" w:space="0" w:color="auto"/>
              <w:right w:val="nil"/>
            </w:tcBorders>
            <w:shd w:val="clear" w:color="auto" w:fill="auto"/>
            <w:noWrap/>
            <w:vAlign w:val="center"/>
            <w:hideMark/>
          </w:tcPr>
          <w:p w14:paraId="147DD25A"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67</w:t>
            </w:r>
          </w:p>
        </w:tc>
        <w:tc>
          <w:tcPr>
            <w:tcW w:w="653" w:type="pct"/>
            <w:tcBorders>
              <w:top w:val="nil"/>
              <w:left w:val="nil"/>
              <w:bottom w:val="single" w:sz="4" w:space="0" w:color="auto"/>
              <w:right w:val="nil"/>
            </w:tcBorders>
            <w:shd w:val="clear" w:color="auto" w:fill="auto"/>
            <w:noWrap/>
            <w:vAlign w:val="center"/>
            <w:hideMark/>
          </w:tcPr>
          <w:p w14:paraId="39FB820A"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25</w:t>
            </w:r>
          </w:p>
        </w:tc>
        <w:tc>
          <w:tcPr>
            <w:tcW w:w="653" w:type="pct"/>
            <w:tcBorders>
              <w:top w:val="nil"/>
              <w:left w:val="nil"/>
              <w:bottom w:val="single" w:sz="4" w:space="0" w:color="auto"/>
              <w:right w:val="nil"/>
            </w:tcBorders>
            <w:shd w:val="clear" w:color="auto" w:fill="auto"/>
            <w:noWrap/>
            <w:vAlign w:val="center"/>
            <w:hideMark/>
          </w:tcPr>
          <w:p w14:paraId="00B88E15"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8</w:t>
            </w:r>
          </w:p>
        </w:tc>
        <w:tc>
          <w:tcPr>
            <w:tcW w:w="653" w:type="pct"/>
            <w:tcBorders>
              <w:top w:val="nil"/>
              <w:left w:val="nil"/>
              <w:bottom w:val="single" w:sz="4" w:space="0" w:color="auto"/>
              <w:right w:val="nil"/>
            </w:tcBorders>
            <w:shd w:val="clear" w:color="auto" w:fill="auto"/>
            <w:noWrap/>
            <w:vAlign w:val="center"/>
            <w:hideMark/>
          </w:tcPr>
          <w:p w14:paraId="432F63F1"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100</w:t>
            </w:r>
          </w:p>
        </w:tc>
      </w:tr>
      <w:tr w:rsidR="004B0B10" w:rsidRPr="004B0B10" w14:paraId="7B568428" w14:textId="77777777" w:rsidTr="004B0B10">
        <w:trPr>
          <w:trHeight w:val="285"/>
        </w:trPr>
        <w:tc>
          <w:tcPr>
            <w:tcW w:w="1734" w:type="pct"/>
            <w:tcBorders>
              <w:top w:val="nil"/>
              <w:left w:val="nil"/>
              <w:bottom w:val="single" w:sz="4" w:space="0" w:color="auto"/>
              <w:right w:val="nil"/>
            </w:tcBorders>
            <w:shd w:val="clear" w:color="auto" w:fill="auto"/>
            <w:noWrap/>
            <w:vAlign w:val="center"/>
            <w:hideMark/>
          </w:tcPr>
          <w:p w14:paraId="584321D4" w14:textId="77777777" w:rsidR="004B0B10" w:rsidRPr="004B0B10" w:rsidRDefault="004B0B10" w:rsidP="004B0B10">
            <w:pPr>
              <w:spacing w:line="240" w:lineRule="auto"/>
              <w:jc w:val="left"/>
              <w:rPr>
                <w:rFonts w:cs="Arial"/>
                <w:color w:val="000000"/>
                <w:sz w:val="22"/>
                <w:szCs w:val="22"/>
                <w:lang w:bidi="ar-SA"/>
              </w:rPr>
            </w:pPr>
            <w:r w:rsidRPr="004B0B10">
              <w:rPr>
                <w:rFonts w:cs="Arial"/>
                <w:color w:val="000000"/>
                <w:sz w:val="22"/>
                <w:szCs w:val="22"/>
                <w:lang w:bidi="ar-SA"/>
              </w:rPr>
              <w:t>Mittlerer Osten</w:t>
            </w:r>
          </w:p>
        </w:tc>
        <w:tc>
          <w:tcPr>
            <w:tcW w:w="653" w:type="pct"/>
            <w:tcBorders>
              <w:top w:val="nil"/>
              <w:left w:val="nil"/>
              <w:bottom w:val="single" w:sz="4" w:space="0" w:color="auto"/>
              <w:right w:val="nil"/>
            </w:tcBorders>
            <w:shd w:val="clear" w:color="auto" w:fill="auto"/>
            <w:noWrap/>
            <w:vAlign w:val="center"/>
            <w:hideMark/>
          </w:tcPr>
          <w:p w14:paraId="22759D21"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5</w:t>
            </w:r>
          </w:p>
        </w:tc>
        <w:tc>
          <w:tcPr>
            <w:tcW w:w="653" w:type="pct"/>
            <w:tcBorders>
              <w:top w:val="nil"/>
              <w:left w:val="nil"/>
              <w:bottom w:val="single" w:sz="4" w:space="0" w:color="auto"/>
              <w:right w:val="nil"/>
            </w:tcBorders>
            <w:shd w:val="clear" w:color="auto" w:fill="auto"/>
            <w:noWrap/>
            <w:vAlign w:val="center"/>
            <w:hideMark/>
          </w:tcPr>
          <w:p w14:paraId="1519D009"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36</w:t>
            </w:r>
          </w:p>
        </w:tc>
        <w:tc>
          <w:tcPr>
            <w:tcW w:w="653" w:type="pct"/>
            <w:tcBorders>
              <w:top w:val="nil"/>
              <w:left w:val="nil"/>
              <w:bottom w:val="single" w:sz="4" w:space="0" w:color="auto"/>
              <w:right w:val="nil"/>
            </w:tcBorders>
            <w:shd w:val="clear" w:color="auto" w:fill="auto"/>
            <w:noWrap/>
            <w:vAlign w:val="center"/>
            <w:hideMark/>
          </w:tcPr>
          <w:p w14:paraId="1A4EA2F8"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59</w:t>
            </w:r>
          </w:p>
        </w:tc>
        <w:tc>
          <w:tcPr>
            <w:tcW w:w="653" w:type="pct"/>
            <w:tcBorders>
              <w:top w:val="nil"/>
              <w:left w:val="nil"/>
              <w:bottom w:val="single" w:sz="4" w:space="0" w:color="auto"/>
              <w:right w:val="nil"/>
            </w:tcBorders>
            <w:shd w:val="clear" w:color="auto" w:fill="auto"/>
            <w:noWrap/>
            <w:vAlign w:val="center"/>
            <w:hideMark/>
          </w:tcPr>
          <w:p w14:paraId="55CEB253"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0</w:t>
            </w:r>
          </w:p>
        </w:tc>
        <w:tc>
          <w:tcPr>
            <w:tcW w:w="653" w:type="pct"/>
            <w:tcBorders>
              <w:top w:val="nil"/>
              <w:left w:val="nil"/>
              <w:bottom w:val="single" w:sz="4" w:space="0" w:color="auto"/>
              <w:right w:val="nil"/>
            </w:tcBorders>
            <w:shd w:val="clear" w:color="auto" w:fill="auto"/>
            <w:noWrap/>
            <w:vAlign w:val="center"/>
            <w:hideMark/>
          </w:tcPr>
          <w:p w14:paraId="759BF6C3"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100</w:t>
            </w:r>
          </w:p>
        </w:tc>
      </w:tr>
      <w:tr w:rsidR="004B0B10" w:rsidRPr="004B0B10" w14:paraId="5933D7C0" w14:textId="77777777" w:rsidTr="004B0B10">
        <w:trPr>
          <w:trHeight w:val="285"/>
        </w:trPr>
        <w:tc>
          <w:tcPr>
            <w:tcW w:w="1734" w:type="pct"/>
            <w:tcBorders>
              <w:top w:val="nil"/>
              <w:left w:val="nil"/>
              <w:bottom w:val="single" w:sz="4" w:space="0" w:color="auto"/>
              <w:right w:val="nil"/>
            </w:tcBorders>
            <w:shd w:val="clear" w:color="auto" w:fill="auto"/>
            <w:noWrap/>
            <w:vAlign w:val="center"/>
            <w:hideMark/>
          </w:tcPr>
          <w:p w14:paraId="4118F355" w14:textId="77777777" w:rsidR="004B0B10" w:rsidRPr="004B0B10" w:rsidRDefault="004B0B10" w:rsidP="004B0B10">
            <w:pPr>
              <w:spacing w:line="240" w:lineRule="auto"/>
              <w:jc w:val="left"/>
              <w:rPr>
                <w:rFonts w:cs="Arial"/>
                <w:color w:val="000000"/>
                <w:sz w:val="22"/>
                <w:szCs w:val="22"/>
                <w:lang w:bidi="ar-SA"/>
              </w:rPr>
            </w:pPr>
            <w:r w:rsidRPr="004B0B10">
              <w:rPr>
                <w:rFonts w:cs="Arial"/>
                <w:color w:val="000000"/>
                <w:sz w:val="22"/>
                <w:szCs w:val="22"/>
                <w:lang w:bidi="ar-SA"/>
              </w:rPr>
              <w:t>Ferner Osten</w:t>
            </w:r>
          </w:p>
        </w:tc>
        <w:tc>
          <w:tcPr>
            <w:tcW w:w="653" w:type="pct"/>
            <w:tcBorders>
              <w:top w:val="nil"/>
              <w:left w:val="nil"/>
              <w:bottom w:val="single" w:sz="4" w:space="0" w:color="auto"/>
              <w:right w:val="nil"/>
            </w:tcBorders>
            <w:shd w:val="clear" w:color="auto" w:fill="auto"/>
            <w:noWrap/>
            <w:vAlign w:val="center"/>
            <w:hideMark/>
          </w:tcPr>
          <w:p w14:paraId="753BE702"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2</w:t>
            </w:r>
          </w:p>
        </w:tc>
        <w:tc>
          <w:tcPr>
            <w:tcW w:w="653" w:type="pct"/>
            <w:tcBorders>
              <w:top w:val="nil"/>
              <w:left w:val="nil"/>
              <w:bottom w:val="single" w:sz="4" w:space="0" w:color="auto"/>
              <w:right w:val="nil"/>
            </w:tcBorders>
            <w:shd w:val="clear" w:color="auto" w:fill="auto"/>
            <w:noWrap/>
            <w:vAlign w:val="center"/>
            <w:hideMark/>
          </w:tcPr>
          <w:p w14:paraId="161A1D7B"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55</w:t>
            </w:r>
          </w:p>
        </w:tc>
        <w:tc>
          <w:tcPr>
            <w:tcW w:w="653" w:type="pct"/>
            <w:tcBorders>
              <w:top w:val="nil"/>
              <w:left w:val="nil"/>
              <w:bottom w:val="single" w:sz="4" w:space="0" w:color="auto"/>
              <w:right w:val="nil"/>
            </w:tcBorders>
            <w:shd w:val="clear" w:color="auto" w:fill="auto"/>
            <w:noWrap/>
            <w:vAlign w:val="center"/>
            <w:hideMark/>
          </w:tcPr>
          <w:p w14:paraId="02E9C4CA"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42</w:t>
            </w:r>
          </w:p>
        </w:tc>
        <w:tc>
          <w:tcPr>
            <w:tcW w:w="653" w:type="pct"/>
            <w:tcBorders>
              <w:top w:val="nil"/>
              <w:left w:val="nil"/>
              <w:bottom w:val="single" w:sz="4" w:space="0" w:color="auto"/>
              <w:right w:val="nil"/>
            </w:tcBorders>
            <w:shd w:val="clear" w:color="auto" w:fill="auto"/>
            <w:noWrap/>
            <w:vAlign w:val="center"/>
            <w:hideMark/>
          </w:tcPr>
          <w:p w14:paraId="5D2F2956"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2</w:t>
            </w:r>
          </w:p>
        </w:tc>
        <w:tc>
          <w:tcPr>
            <w:tcW w:w="653" w:type="pct"/>
            <w:tcBorders>
              <w:top w:val="nil"/>
              <w:left w:val="nil"/>
              <w:bottom w:val="single" w:sz="4" w:space="0" w:color="auto"/>
              <w:right w:val="nil"/>
            </w:tcBorders>
            <w:shd w:val="clear" w:color="auto" w:fill="auto"/>
            <w:noWrap/>
            <w:vAlign w:val="center"/>
            <w:hideMark/>
          </w:tcPr>
          <w:p w14:paraId="7551ABAC"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100</w:t>
            </w:r>
          </w:p>
        </w:tc>
      </w:tr>
      <w:tr w:rsidR="004B0B10" w:rsidRPr="004B0B10" w14:paraId="28C4714D" w14:textId="77777777" w:rsidTr="004B0B10">
        <w:trPr>
          <w:trHeight w:val="285"/>
        </w:trPr>
        <w:tc>
          <w:tcPr>
            <w:tcW w:w="1734" w:type="pct"/>
            <w:tcBorders>
              <w:top w:val="nil"/>
              <w:left w:val="nil"/>
              <w:bottom w:val="single" w:sz="4" w:space="0" w:color="auto"/>
              <w:right w:val="nil"/>
            </w:tcBorders>
            <w:shd w:val="clear" w:color="auto" w:fill="auto"/>
            <w:noWrap/>
            <w:vAlign w:val="center"/>
            <w:hideMark/>
          </w:tcPr>
          <w:p w14:paraId="34E8BABD" w14:textId="77777777" w:rsidR="004B0B10" w:rsidRPr="004B0B10" w:rsidRDefault="004B0B10" w:rsidP="004B0B10">
            <w:pPr>
              <w:spacing w:line="240" w:lineRule="auto"/>
              <w:jc w:val="left"/>
              <w:rPr>
                <w:rFonts w:cs="Arial"/>
                <w:color w:val="000000"/>
                <w:sz w:val="22"/>
                <w:szCs w:val="22"/>
                <w:lang w:bidi="ar-SA"/>
              </w:rPr>
            </w:pPr>
            <w:r w:rsidRPr="004B0B10">
              <w:rPr>
                <w:rFonts w:cs="Arial"/>
                <w:color w:val="000000"/>
                <w:sz w:val="22"/>
                <w:szCs w:val="22"/>
                <w:lang w:bidi="ar-SA"/>
              </w:rPr>
              <w:t>Australien - Ozeanien</w:t>
            </w:r>
          </w:p>
        </w:tc>
        <w:tc>
          <w:tcPr>
            <w:tcW w:w="653" w:type="pct"/>
            <w:tcBorders>
              <w:top w:val="nil"/>
              <w:left w:val="nil"/>
              <w:bottom w:val="single" w:sz="4" w:space="0" w:color="auto"/>
              <w:right w:val="nil"/>
            </w:tcBorders>
            <w:shd w:val="clear" w:color="auto" w:fill="auto"/>
            <w:noWrap/>
            <w:vAlign w:val="center"/>
            <w:hideMark/>
          </w:tcPr>
          <w:p w14:paraId="5F50C444"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1</w:t>
            </w:r>
          </w:p>
        </w:tc>
        <w:tc>
          <w:tcPr>
            <w:tcW w:w="653" w:type="pct"/>
            <w:tcBorders>
              <w:top w:val="nil"/>
              <w:left w:val="nil"/>
              <w:bottom w:val="single" w:sz="4" w:space="0" w:color="auto"/>
              <w:right w:val="nil"/>
            </w:tcBorders>
            <w:shd w:val="clear" w:color="auto" w:fill="auto"/>
            <w:noWrap/>
            <w:vAlign w:val="center"/>
            <w:hideMark/>
          </w:tcPr>
          <w:p w14:paraId="38865C37"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91</w:t>
            </w:r>
          </w:p>
        </w:tc>
        <w:tc>
          <w:tcPr>
            <w:tcW w:w="653" w:type="pct"/>
            <w:tcBorders>
              <w:top w:val="nil"/>
              <w:left w:val="nil"/>
              <w:bottom w:val="single" w:sz="4" w:space="0" w:color="auto"/>
              <w:right w:val="nil"/>
            </w:tcBorders>
            <w:shd w:val="clear" w:color="auto" w:fill="auto"/>
            <w:noWrap/>
            <w:vAlign w:val="center"/>
            <w:hideMark/>
          </w:tcPr>
          <w:p w14:paraId="158C78F5"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8</w:t>
            </w:r>
          </w:p>
        </w:tc>
        <w:tc>
          <w:tcPr>
            <w:tcW w:w="653" w:type="pct"/>
            <w:tcBorders>
              <w:top w:val="nil"/>
              <w:left w:val="nil"/>
              <w:bottom w:val="single" w:sz="4" w:space="0" w:color="auto"/>
              <w:right w:val="nil"/>
            </w:tcBorders>
            <w:shd w:val="clear" w:color="auto" w:fill="auto"/>
            <w:noWrap/>
            <w:vAlign w:val="center"/>
            <w:hideMark/>
          </w:tcPr>
          <w:p w14:paraId="490913B7"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1</w:t>
            </w:r>
          </w:p>
        </w:tc>
        <w:tc>
          <w:tcPr>
            <w:tcW w:w="653" w:type="pct"/>
            <w:tcBorders>
              <w:top w:val="nil"/>
              <w:left w:val="nil"/>
              <w:bottom w:val="single" w:sz="4" w:space="0" w:color="auto"/>
              <w:right w:val="nil"/>
            </w:tcBorders>
            <w:shd w:val="clear" w:color="auto" w:fill="auto"/>
            <w:noWrap/>
            <w:vAlign w:val="center"/>
            <w:hideMark/>
          </w:tcPr>
          <w:p w14:paraId="7C461C9B"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100</w:t>
            </w:r>
          </w:p>
        </w:tc>
      </w:tr>
      <w:tr w:rsidR="004B0B10" w:rsidRPr="004B0B10" w14:paraId="3E15083C" w14:textId="77777777" w:rsidTr="004B0B10">
        <w:trPr>
          <w:trHeight w:val="285"/>
        </w:trPr>
        <w:tc>
          <w:tcPr>
            <w:tcW w:w="1734" w:type="pct"/>
            <w:tcBorders>
              <w:top w:val="nil"/>
              <w:left w:val="nil"/>
              <w:bottom w:val="single" w:sz="4" w:space="0" w:color="auto"/>
              <w:right w:val="nil"/>
            </w:tcBorders>
            <w:shd w:val="clear" w:color="auto" w:fill="auto"/>
            <w:noWrap/>
            <w:vAlign w:val="center"/>
            <w:hideMark/>
          </w:tcPr>
          <w:p w14:paraId="133B6EB7" w14:textId="77777777" w:rsidR="004B0B10" w:rsidRPr="004B0B10" w:rsidRDefault="004B0B10" w:rsidP="004B0B10">
            <w:pPr>
              <w:spacing w:line="240" w:lineRule="auto"/>
              <w:jc w:val="left"/>
              <w:rPr>
                <w:rFonts w:cs="Arial"/>
                <w:color w:val="000000"/>
                <w:sz w:val="22"/>
                <w:szCs w:val="22"/>
                <w:lang w:bidi="ar-SA"/>
              </w:rPr>
            </w:pPr>
            <w:r w:rsidRPr="004B0B10">
              <w:rPr>
                <w:rFonts w:cs="Arial"/>
                <w:color w:val="000000"/>
                <w:sz w:val="22"/>
                <w:szCs w:val="22"/>
                <w:lang w:bidi="ar-SA"/>
              </w:rPr>
              <w:t>Afrika</w:t>
            </w:r>
          </w:p>
        </w:tc>
        <w:tc>
          <w:tcPr>
            <w:tcW w:w="653" w:type="pct"/>
            <w:tcBorders>
              <w:top w:val="nil"/>
              <w:left w:val="nil"/>
              <w:bottom w:val="single" w:sz="4" w:space="0" w:color="auto"/>
              <w:right w:val="nil"/>
            </w:tcBorders>
            <w:shd w:val="clear" w:color="auto" w:fill="auto"/>
            <w:noWrap/>
            <w:vAlign w:val="center"/>
            <w:hideMark/>
          </w:tcPr>
          <w:p w14:paraId="6A1330DA"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0</w:t>
            </w:r>
          </w:p>
        </w:tc>
        <w:tc>
          <w:tcPr>
            <w:tcW w:w="653" w:type="pct"/>
            <w:tcBorders>
              <w:top w:val="nil"/>
              <w:left w:val="nil"/>
              <w:bottom w:val="single" w:sz="4" w:space="0" w:color="auto"/>
              <w:right w:val="nil"/>
            </w:tcBorders>
            <w:shd w:val="clear" w:color="auto" w:fill="auto"/>
            <w:noWrap/>
            <w:vAlign w:val="center"/>
            <w:hideMark/>
          </w:tcPr>
          <w:p w14:paraId="7D461B3F"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31</w:t>
            </w:r>
          </w:p>
        </w:tc>
        <w:tc>
          <w:tcPr>
            <w:tcW w:w="653" w:type="pct"/>
            <w:tcBorders>
              <w:top w:val="nil"/>
              <w:left w:val="nil"/>
              <w:bottom w:val="single" w:sz="4" w:space="0" w:color="auto"/>
              <w:right w:val="nil"/>
            </w:tcBorders>
            <w:shd w:val="clear" w:color="auto" w:fill="auto"/>
            <w:noWrap/>
            <w:vAlign w:val="center"/>
            <w:hideMark/>
          </w:tcPr>
          <w:p w14:paraId="059029FD"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62</w:t>
            </w:r>
          </w:p>
        </w:tc>
        <w:tc>
          <w:tcPr>
            <w:tcW w:w="653" w:type="pct"/>
            <w:tcBorders>
              <w:top w:val="nil"/>
              <w:left w:val="nil"/>
              <w:bottom w:val="single" w:sz="4" w:space="0" w:color="auto"/>
              <w:right w:val="nil"/>
            </w:tcBorders>
            <w:shd w:val="clear" w:color="auto" w:fill="auto"/>
            <w:noWrap/>
            <w:vAlign w:val="center"/>
            <w:hideMark/>
          </w:tcPr>
          <w:p w14:paraId="06A78A2F"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8</w:t>
            </w:r>
          </w:p>
        </w:tc>
        <w:tc>
          <w:tcPr>
            <w:tcW w:w="653" w:type="pct"/>
            <w:tcBorders>
              <w:top w:val="nil"/>
              <w:left w:val="nil"/>
              <w:bottom w:val="single" w:sz="4" w:space="0" w:color="auto"/>
              <w:right w:val="nil"/>
            </w:tcBorders>
            <w:shd w:val="clear" w:color="auto" w:fill="auto"/>
            <w:noWrap/>
            <w:vAlign w:val="center"/>
            <w:hideMark/>
          </w:tcPr>
          <w:p w14:paraId="646CD42F" w14:textId="77777777" w:rsidR="004B0B10" w:rsidRPr="004B0B10" w:rsidRDefault="004B0B10" w:rsidP="004B0B10">
            <w:pPr>
              <w:spacing w:line="240" w:lineRule="auto"/>
              <w:jc w:val="center"/>
              <w:rPr>
                <w:rFonts w:cs="Arial"/>
                <w:color w:val="000000"/>
                <w:sz w:val="22"/>
                <w:szCs w:val="22"/>
                <w:lang w:bidi="ar-SA"/>
              </w:rPr>
            </w:pPr>
            <w:r w:rsidRPr="004B0B10">
              <w:rPr>
                <w:rFonts w:cs="Arial"/>
                <w:color w:val="000000"/>
                <w:sz w:val="22"/>
                <w:szCs w:val="22"/>
                <w:lang w:bidi="ar-SA"/>
              </w:rPr>
              <w:t>100</w:t>
            </w:r>
          </w:p>
        </w:tc>
      </w:tr>
    </w:tbl>
    <w:p w14:paraId="0DFC43FB" w14:textId="77777777" w:rsidR="004B0B10" w:rsidRDefault="004B0B10" w:rsidP="004B0B10">
      <w:pPr>
        <w:rPr>
          <w:lang w:bidi="ar-SA"/>
        </w:rPr>
      </w:pPr>
      <w:r w:rsidRPr="002D5CB0">
        <w:rPr>
          <w:vertAlign w:val="superscript"/>
          <w:lang w:val="de-DE"/>
        </w:rPr>
        <w:t xml:space="preserve">*) </w:t>
      </w:r>
      <w:r w:rsidRPr="002D5CB0">
        <w:rPr>
          <w:lang w:bidi="ar-SA"/>
        </w:rPr>
        <w:t>J</w:t>
      </w:r>
      <w:r w:rsidRPr="0068091B">
        <w:rPr>
          <w:lang w:bidi="ar-SA"/>
        </w:rPr>
        <w:t xml:space="preserve">a, auch </w:t>
      </w:r>
      <w:r>
        <w:rPr>
          <w:lang w:bidi="ar-SA"/>
        </w:rPr>
        <w:t>bei Verlust der</w:t>
      </w:r>
      <w:r w:rsidRPr="0068091B">
        <w:rPr>
          <w:lang w:bidi="ar-SA"/>
        </w:rPr>
        <w:t xml:space="preserve"> ö</w:t>
      </w:r>
      <w:r>
        <w:rPr>
          <w:lang w:bidi="ar-SA"/>
        </w:rPr>
        <w:t>.</w:t>
      </w:r>
      <w:r w:rsidRPr="0068091B">
        <w:rPr>
          <w:lang w:bidi="ar-SA"/>
        </w:rPr>
        <w:t xml:space="preserve"> Staatsbürger</w:t>
      </w:r>
      <w:r>
        <w:rPr>
          <w:lang w:bidi="ar-SA"/>
        </w:rPr>
        <w:t>schaft</w:t>
      </w:r>
    </w:p>
    <w:p w14:paraId="21C8AC88" w14:textId="77777777" w:rsidR="004B0B10" w:rsidRDefault="004B0B10" w:rsidP="004B0B10">
      <w:pPr>
        <w:rPr>
          <w:lang w:bidi="ar-SA"/>
        </w:rPr>
      </w:pPr>
      <w:r>
        <w:rPr>
          <w:lang w:bidi="ar-SA"/>
        </w:rPr>
        <w:t xml:space="preserve">**) </w:t>
      </w:r>
      <w:r w:rsidRPr="0068091B">
        <w:rPr>
          <w:lang w:bidi="ar-SA"/>
        </w:rPr>
        <w:t xml:space="preserve">Ja, aber nur </w:t>
      </w:r>
      <w:r>
        <w:rPr>
          <w:lang w:bidi="ar-SA"/>
        </w:rPr>
        <w:t>mit Beibehaltung der</w:t>
      </w:r>
      <w:r w:rsidRPr="0068091B">
        <w:rPr>
          <w:lang w:bidi="ar-SA"/>
        </w:rPr>
        <w:t xml:space="preserve"> ö</w:t>
      </w:r>
      <w:r>
        <w:rPr>
          <w:lang w:bidi="ar-SA"/>
        </w:rPr>
        <w:t>.</w:t>
      </w:r>
      <w:r w:rsidRPr="0068091B">
        <w:rPr>
          <w:lang w:bidi="ar-SA"/>
        </w:rPr>
        <w:t xml:space="preserve"> Staatsbürgerschaft</w:t>
      </w:r>
    </w:p>
    <w:p w14:paraId="2A8FA7A9" w14:textId="641FD875" w:rsidR="004B0B10" w:rsidRDefault="004B0B10" w:rsidP="004B0B10">
      <w:pPr>
        <w:jc w:val="left"/>
        <w:rPr>
          <w:lang w:val="de-DE"/>
        </w:rPr>
      </w:pPr>
      <w:r w:rsidRPr="007902DA">
        <w:rPr>
          <w:lang w:val="de-DE"/>
        </w:rPr>
        <w:t>N= 2.187</w:t>
      </w:r>
    </w:p>
    <w:p w14:paraId="2AB61607" w14:textId="77777777" w:rsidR="004B0B10" w:rsidRDefault="004B0B10" w:rsidP="004B0B10">
      <w:pPr>
        <w:jc w:val="left"/>
        <w:rPr>
          <w:lang w:val="de-DE"/>
        </w:rPr>
      </w:pPr>
    </w:p>
    <w:p w14:paraId="119A2A31" w14:textId="402F7EB5" w:rsidR="006A7D81" w:rsidRDefault="006A7D81">
      <w:pPr>
        <w:spacing w:line="240" w:lineRule="auto"/>
        <w:jc w:val="left"/>
        <w:rPr>
          <w:lang w:val="de-DE"/>
        </w:rPr>
      </w:pPr>
      <w:r>
        <w:rPr>
          <w:lang w:val="de-DE"/>
        </w:rPr>
        <w:br w:type="page"/>
      </w:r>
    </w:p>
    <w:p w14:paraId="7B75CC2E" w14:textId="054642DA" w:rsidR="00C26E0D" w:rsidRDefault="007039BF" w:rsidP="00423F3B">
      <w:pPr>
        <w:jc w:val="left"/>
        <w:rPr>
          <w:lang w:val="de-DE"/>
        </w:rPr>
      </w:pPr>
      <w:r w:rsidRPr="007039BF">
        <w:rPr>
          <w:highlight w:val="cyan"/>
          <w:lang w:val="de-DE"/>
        </w:rPr>
        <w:lastRenderedPageBreak/>
        <w:t>Q7:</w:t>
      </w:r>
      <w:r>
        <w:rPr>
          <w:lang w:val="de-DE"/>
        </w:rPr>
        <w:t xml:space="preserve"> </w:t>
      </w:r>
      <w:r w:rsidR="00C26E0D">
        <w:rPr>
          <w:lang w:val="de-DE"/>
        </w:rPr>
        <w:t>Die Befragten wurden gebeten, mögliche</w:t>
      </w:r>
      <w:r w:rsidR="00A772D0">
        <w:rPr>
          <w:lang w:val="de-DE"/>
        </w:rPr>
        <w:t xml:space="preserve"> Beweggründe für die Annahme der Staatsbürgerschaft des Aufenthaltslandes </w:t>
      </w:r>
      <w:r w:rsidR="00C26E0D">
        <w:rPr>
          <w:lang w:val="de-DE"/>
        </w:rPr>
        <w:t xml:space="preserve">anzugeben. Die Ergebnisse sind in </w:t>
      </w:r>
      <w:r w:rsidR="00C26E0D" w:rsidRPr="00C26E0D">
        <w:rPr>
          <w:u w:val="single"/>
          <w:lang w:val="de-DE"/>
        </w:rPr>
        <w:t>Abbi</w:t>
      </w:r>
      <w:r w:rsidR="00C26E0D" w:rsidRPr="00C26E0D">
        <w:rPr>
          <w:u w:val="single"/>
          <w:lang w:val="de-DE"/>
        </w:rPr>
        <w:t>l</w:t>
      </w:r>
      <w:r w:rsidR="00C26E0D" w:rsidRPr="00C26E0D">
        <w:rPr>
          <w:u w:val="single"/>
          <w:lang w:val="de-DE"/>
        </w:rPr>
        <w:t xml:space="preserve">dung </w:t>
      </w:r>
      <w:r w:rsidR="0031278D">
        <w:rPr>
          <w:u w:val="single"/>
          <w:lang w:val="de-DE"/>
        </w:rPr>
        <w:t>5</w:t>
      </w:r>
      <w:r w:rsidR="00C26E0D" w:rsidRPr="00C26E0D">
        <w:rPr>
          <w:u w:val="single"/>
          <w:lang w:val="de-DE"/>
        </w:rPr>
        <w:t xml:space="preserve"> </w:t>
      </w:r>
      <w:r w:rsidR="00C26E0D">
        <w:rPr>
          <w:lang w:val="de-DE"/>
        </w:rPr>
        <w:t>dargestellt. Insgesamt fast die Hälfte</w:t>
      </w:r>
      <w:r w:rsidR="00A772D0">
        <w:rPr>
          <w:lang w:val="de-DE"/>
        </w:rPr>
        <w:t xml:space="preserve"> der Befragten</w:t>
      </w:r>
      <w:r w:rsidR="00C26E0D">
        <w:rPr>
          <w:lang w:val="de-DE"/>
        </w:rPr>
        <w:t xml:space="preserve"> gibt</w:t>
      </w:r>
      <w:r w:rsidR="00A772D0">
        <w:rPr>
          <w:lang w:val="de-DE"/>
        </w:rPr>
        <w:t xml:space="preserve"> an, dass das Land zu ihrer z</w:t>
      </w:r>
      <w:r w:rsidR="00570EF7">
        <w:rPr>
          <w:lang w:val="de-DE"/>
        </w:rPr>
        <w:t>weiten Heimat geworden ist (24</w:t>
      </w:r>
      <w:r w:rsidR="00A772D0">
        <w:rPr>
          <w:lang w:val="de-DE"/>
        </w:rPr>
        <w:t>%) beziehungsweise dass sie sich an den Wah</w:t>
      </w:r>
      <w:r w:rsidR="00570EF7">
        <w:rPr>
          <w:lang w:val="de-DE"/>
        </w:rPr>
        <w:t>len beteiligen möchten (22</w:t>
      </w:r>
      <w:r w:rsidR="00A772D0">
        <w:rPr>
          <w:lang w:val="de-DE"/>
        </w:rPr>
        <w:t>%). Daneben spielt für die Befragten auch eine Rolle, dass mit der Staatsbürgerscha</w:t>
      </w:r>
      <w:r w:rsidR="00570EF7">
        <w:rPr>
          <w:lang w:val="de-DE"/>
        </w:rPr>
        <w:t>ft mehr Rechte einhergehen (12</w:t>
      </w:r>
      <w:r w:rsidR="00A772D0">
        <w:rPr>
          <w:lang w:val="de-DE"/>
        </w:rPr>
        <w:t>%) und die Aufen</w:t>
      </w:r>
      <w:r w:rsidR="00A772D0">
        <w:rPr>
          <w:lang w:val="de-DE"/>
        </w:rPr>
        <w:t>t</w:t>
      </w:r>
      <w:r w:rsidR="00A772D0">
        <w:rPr>
          <w:lang w:val="de-DE"/>
        </w:rPr>
        <w:t>h</w:t>
      </w:r>
      <w:r w:rsidR="00570EF7">
        <w:rPr>
          <w:lang w:val="de-DE"/>
        </w:rPr>
        <w:t>altssicherheit erhöht wird (12</w:t>
      </w:r>
      <w:r w:rsidR="00A772D0">
        <w:rPr>
          <w:lang w:val="de-DE"/>
        </w:rPr>
        <w:t xml:space="preserve">%). </w:t>
      </w:r>
    </w:p>
    <w:p w14:paraId="5242E474" w14:textId="77777777" w:rsidR="004E4B3D" w:rsidRDefault="004E4B3D" w:rsidP="00423F3B">
      <w:pPr>
        <w:jc w:val="left"/>
        <w:rPr>
          <w:lang w:val="de-DE"/>
        </w:rPr>
      </w:pPr>
    </w:p>
    <w:p w14:paraId="2F565FF9" w14:textId="5D13B2C9" w:rsidR="002B1075" w:rsidRDefault="002B1075" w:rsidP="00423F3B">
      <w:pPr>
        <w:jc w:val="left"/>
        <w:rPr>
          <w:lang w:val="de-DE"/>
        </w:rPr>
      </w:pPr>
      <w:r w:rsidRPr="00C26E0D">
        <w:rPr>
          <w:u w:val="single"/>
          <w:lang w:val="de-DE"/>
        </w:rPr>
        <w:t xml:space="preserve">Abbildung </w:t>
      </w:r>
      <w:r w:rsidR="0031278D">
        <w:rPr>
          <w:u w:val="single"/>
          <w:lang w:val="de-DE"/>
        </w:rPr>
        <w:t>5</w:t>
      </w:r>
      <w:r w:rsidRPr="00C26E0D">
        <w:rPr>
          <w:lang w:val="de-DE"/>
        </w:rPr>
        <w:t>: Beweggründe für Annahme der Staatsbürgerschaft des Gastlandes</w:t>
      </w:r>
      <w:r>
        <w:rPr>
          <w:lang w:val="de-DE"/>
        </w:rPr>
        <w:t xml:space="preserve"> (</w:t>
      </w:r>
      <w:r w:rsidRPr="00C26E0D">
        <w:rPr>
          <w:lang w:val="de-DE"/>
        </w:rPr>
        <w:t>Nennungen in Prozent</w:t>
      </w:r>
      <w:r>
        <w:rPr>
          <w:lang w:val="de-DE"/>
        </w:rPr>
        <w:t>)</w:t>
      </w:r>
    </w:p>
    <w:p w14:paraId="749C153F" w14:textId="77777777" w:rsidR="00C26E0D" w:rsidRDefault="00C26E0D" w:rsidP="00C26E0D">
      <w:pPr>
        <w:jc w:val="left"/>
        <w:rPr>
          <w:lang w:val="de-DE"/>
        </w:rPr>
      </w:pPr>
      <w:r>
        <w:rPr>
          <w:noProof/>
          <w:lang w:bidi="ar-SA"/>
        </w:rPr>
        <w:drawing>
          <wp:inline distT="0" distB="0" distL="0" distR="0" wp14:anchorId="1D430E94" wp14:editId="30930567">
            <wp:extent cx="5759532" cy="3871356"/>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3845B5" w14:textId="6581B1D5" w:rsidR="00C26E0D" w:rsidRPr="00C26E0D" w:rsidRDefault="002B1075" w:rsidP="00C26E0D">
      <w:pPr>
        <w:spacing w:before="240"/>
        <w:jc w:val="left"/>
        <w:rPr>
          <w:lang w:val="de-DE"/>
        </w:rPr>
      </w:pPr>
      <w:r>
        <w:rPr>
          <w:lang w:val="de-DE"/>
        </w:rPr>
        <w:t xml:space="preserve">Anmerkung: </w:t>
      </w:r>
      <w:r w:rsidR="00C26E0D" w:rsidRPr="00C26E0D">
        <w:rPr>
          <w:lang w:val="de-DE"/>
        </w:rPr>
        <w:t>die einzelnen Gründe summieren sich zu 100%; N=2.403</w:t>
      </w:r>
    </w:p>
    <w:p w14:paraId="39C0687C" w14:textId="77777777" w:rsidR="00C26E0D" w:rsidRPr="000A5FC2" w:rsidRDefault="00C26E0D" w:rsidP="00C26E0D">
      <w:pPr>
        <w:jc w:val="left"/>
        <w:rPr>
          <w:lang w:val="de-DE"/>
        </w:rPr>
      </w:pPr>
      <w:r w:rsidRPr="00C26E0D">
        <w:rPr>
          <w:lang w:val="de-DE"/>
        </w:rPr>
        <w:t>* Möglichkeit, nach Verlassen des Aufenthaltslandes wieder in dieses zurückkehren zu können</w:t>
      </w:r>
    </w:p>
    <w:p w14:paraId="686802AD" w14:textId="77777777" w:rsidR="00C26E0D" w:rsidRDefault="00C26E0D" w:rsidP="00423F3B">
      <w:pPr>
        <w:jc w:val="left"/>
        <w:rPr>
          <w:lang w:val="de-DE"/>
        </w:rPr>
      </w:pPr>
    </w:p>
    <w:p w14:paraId="487D57F4" w14:textId="77777777" w:rsidR="0031278D" w:rsidRDefault="00C26E0D" w:rsidP="00423F3B">
      <w:pPr>
        <w:jc w:val="left"/>
        <w:rPr>
          <w:lang w:val="de-DE"/>
        </w:rPr>
      </w:pPr>
      <w:r>
        <w:rPr>
          <w:lang w:val="de-DE"/>
        </w:rPr>
        <w:t>Es</w:t>
      </w:r>
      <w:r w:rsidR="00885C4B">
        <w:rPr>
          <w:lang w:val="de-DE"/>
        </w:rPr>
        <w:t xml:space="preserve"> zeigen sich interessante Zusammenhänge </w:t>
      </w:r>
      <w:r>
        <w:rPr>
          <w:lang w:val="de-DE"/>
        </w:rPr>
        <w:t>hinsichtlich</w:t>
      </w:r>
      <w:r w:rsidR="00885C4B">
        <w:rPr>
          <w:lang w:val="de-DE"/>
        </w:rPr>
        <w:t xml:space="preserve"> mehreren Faktoren: </w:t>
      </w:r>
      <w:r w:rsidR="008A7570">
        <w:rPr>
          <w:lang w:val="de-DE"/>
        </w:rPr>
        <w:t xml:space="preserve">Mit längerer Aufenthaltsdauer im Gastland wird der Aspekt der Aufenthaltssicherheit, der besseren beruflichen Chancen, sowie des Zugewinns an Rechten </w:t>
      </w:r>
      <w:r>
        <w:rPr>
          <w:lang w:val="de-DE"/>
        </w:rPr>
        <w:t xml:space="preserve">für die Befragten </w:t>
      </w:r>
      <w:r w:rsidR="008A7570">
        <w:rPr>
          <w:lang w:val="de-DE"/>
        </w:rPr>
        <w:t>unwichtiger. Auf der anderen Seite werden die Aspekte des Heimatge</w:t>
      </w:r>
      <w:r w:rsidR="00912B5F">
        <w:rPr>
          <w:lang w:val="de-DE"/>
        </w:rPr>
        <w:t>fühls im Gas</w:t>
      </w:r>
      <w:r w:rsidR="00912B5F">
        <w:rPr>
          <w:lang w:val="de-DE"/>
        </w:rPr>
        <w:t>t</w:t>
      </w:r>
      <w:r w:rsidR="00912B5F">
        <w:rPr>
          <w:lang w:val="de-DE"/>
        </w:rPr>
        <w:t xml:space="preserve">land und der Wunsch nach Wahlbeteiligung wichtiger mit längerer Aufenthaltsdauer. </w:t>
      </w:r>
    </w:p>
    <w:p w14:paraId="304A7C26" w14:textId="77777777" w:rsidR="0031278D" w:rsidRDefault="0031278D" w:rsidP="00423F3B">
      <w:pPr>
        <w:jc w:val="left"/>
        <w:rPr>
          <w:lang w:val="de-DE"/>
        </w:rPr>
      </w:pPr>
    </w:p>
    <w:p w14:paraId="30B6E1D8" w14:textId="28A7ACE4" w:rsidR="00AF4335" w:rsidRDefault="001F29E3" w:rsidP="00423F3B">
      <w:pPr>
        <w:jc w:val="left"/>
        <w:rPr>
          <w:lang w:val="de-DE"/>
        </w:rPr>
      </w:pPr>
      <w:r>
        <w:rPr>
          <w:lang w:val="de-DE"/>
        </w:rPr>
        <w:t>Hinsichtlich des Unterschieds nach Aufenthaltsländern ist das Bedürfnis nach Au</w:t>
      </w:r>
      <w:r>
        <w:rPr>
          <w:lang w:val="de-DE"/>
        </w:rPr>
        <w:t>f</w:t>
      </w:r>
      <w:r>
        <w:rPr>
          <w:lang w:val="de-DE"/>
        </w:rPr>
        <w:t>enthaltssicherheit überdurchschnittlich hoch in Zentral- und Nordamerika sowie im Fernen Osten. Die Befragten in Südamerika und Australien-Ozeanien erhoffen sich durch die Staatsbürgerschaft bessere berufliche Chancen, der Aspekt der Möglic</w:t>
      </w:r>
      <w:r>
        <w:rPr>
          <w:lang w:val="de-DE"/>
        </w:rPr>
        <w:t>h</w:t>
      </w:r>
      <w:r>
        <w:rPr>
          <w:lang w:val="de-DE"/>
        </w:rPr>
        <w:t>keit der Wahlbeteiligung trifft besonders oft für die Befragten in Europa zu. In</w:t>
      </w:r>
      <w:r w:rsidR="009F7327">
        <w:rPr>
          <w:lang w:val="de-DE"/>
        </w:rPr>
        <w:t xml:space="preserve"> Nor</w:t>
      </w:r>
      <w:r w:rsidR="009F7327">
        <w:rPr>
          <w:lang w:val="de-DE"/>
        </w:rPr>
        <w:t>d</w:t>
      </w:r>
      <w:r w:rsidR="009F7327">
        <w:rPr>
          <w:lang w:val="de-DE"/>
        </w:rPr>
        <w:t>amerika und Australien-Ozeanien wird überdurchschnittlich oft der Grund genannt, dass mit der Staatsbürgerschaft die Möglichkeit besteht, nach Verlassen des Aufen</w:t>
      </w:r>
      <w:r w:rsidR="009F7327">
        <w:rPr>
          <w:lang w:val="de-DE"/>
        </w:rPr>
        <w:t>t</w:t>
      </w:r>
      <w:r w:rsidR="009F7327">
        <w:rPr>
          <w:lang w:val="de-DE"/>
        </w:rPr>
        <w:t xml:space="preserve">haltslandes wieder in dieses zurückkehren zu können. </w:t>
      </w:r>
      <w:r w:rsidR="007303AA">
        <w:rPr>
          <w:lang w:val="de-DE"/>
        </w:rPr>
        <w:t>Bezüglich der Bildungsa</w:t>
      </w:r>
      <w:r w:rsidR="007303AA">
        <w:rPr>
          <w:lang w:val="de-DE"/>
        </w:rPr>
        <w:t>b</w:t>
      </w:r>
      <w:r w:rsidR="007303AA">
        <w:rPr>
          <w:lang w:val="de-DE"/>
        </w:rPr>
        <w:t>schlüsse findet sich der Unterschied vor allem beim Aspekt, dass das Aufenthalt</w:t>
      </w:r>
      <w:r w:rsidR="007303AA">
        <w:rPr>
          <w:lang w:val="de-DE"/>
        </w:rPr>
        <w:t>s</w:t>
      </w:r>
      <w:r w:rsidR="007303AA">
        <w:rPr>
          <w:lang w:val="de-DE"/>
        </w:rPr>
        <w:t>land zur zweiten Heimat geworden ist: Für Akademikerinnen und Akademiker ist di</w:t>
      </w:r>
      <w:r w:rsidR="007303AA">
        <w:rPr>
          <w:lang w:val="de-DE"/>
        </w:rPr>
        <w:t>e</w:t>
      </w:r>
      <w:r w:rsidR="007303AA">
        <w:rPr>
          <w:lang w:val="de-DE"/>
        </w:rPr>
        <w:t>ser Beweggrund weniger zutreffend als für Personen mit niedrigerem Bildungsa</w:t>
      </w:r>
      <w:r w:rsidR="007303AA">
        <w:rPr>
          <w:lang w:val="de-DE"/>
        </w:rPr>
        <w:t>b</w:t>
      </w:r>
      <w:r w:rsidR="007303AA">
        <w:rPr>
          <w:lang w:val="de-DE"/>
        </w:rPr>
        <w:t xml:space="preserve">schluss. </w:t>
      </w:r>
      <w:r w:rsidR="00324285">
        <w:rPr>
          <w:lang w:val="de-DE"/>
        </w:rPr>
        <w:t>Bezüglich des Geschlechts ist noch nennenswert, dass Frauen etwas häuf</w:t>
      </w:r>
      <w:r w:rsidR="00324285">
        <w:rPr>
          <w:lang w:val="de-DE"/>
        </w:rPr>
        <w:t>i</w:t>
      </w:r>
      <w:r w:rsidR="00324285">
        <w:rPr>
          <w:lang w:val="de-DE"/>
        </w:rPr>
        <w:t>ger als Männer die Partizipation bei Wahlen als Beweggrund für die Erlangung der Staatsbürgerschaft angeben. Beim Alter sowie bei der Anzahl der in Österreich ve</w:t>
      </w:r>
      <w:r w:rsidR="00324285">
        <w:rPr>
          <w:lang w:val="de-DE"/>
        </w:rPr>
        <w:t>r</w:t>
      </w:r>
      <w:r w:rsidR="00324285">
        <w:rPr>
          <w:lang w:val="de-DE"/>
        </w:rPr>
        <w:t>brachten Jahre zeigen sich die gleichen Muster wie schon bei der Dauer des Aufen</w:t>
      </w:r>
      <w:r w:rsidR="00324285">
        <w:rPr>
          <w:lang w:val="de-DE"/>
        </w:rPr>
        <w:t>t</w:t>
      </w:r>
      <w:r w:rsidR="00324285">
        <w:rPr>
          <w:lang w:val="de-DE"/>
        </w:rPr>
        <w:t xml:space="preserve">halts im Gastland. </w:t>
      </w:r>
    </w:p>
    <w:p w14:paraId="43A069AA" w14:textId="77777777" w:rsidR="0099305A" w:rsidRDefault="0099305A" w:rsidP="00423F3B">
      <w:pPr>
        <w:jc w:val="left"/>
        <w:rPr>
          <w:lang w:val="de-DE"/>
        </w:rPr>
      </w:pPr>
    </w:p>
    <w:p w14:paraId="223B7006" w14:textId="05FBD5B5" w:rsidR="007902DA" w:rsidRDefault="00C26E0D" w:rsidP="00423F3B">
      <w:pPr>
        <w:jc w:val="left"/>
        <w:rPr>
          <w:lang w:val="de-DE"/>
        </w:rPr>
      </w:pPr>
      <w:r>
        <w:rPr>
          <w:lang w:val="de-DE"/>
        </w:rPr>
        <w:t>Mit mehreren Fragen wurden die Teilnehmerinnen und Teilnehmer der Umfrage g</w:t>
      </w:r>
      <w:r>
        <w:rPr>
          <w:lang w:val="de-DE"/>
        </w:rPr>
        <w:t>e</w:t>
      </w:r>
      <w:r>
        <w:rPr>
          <w:lang w:val="de-DE"/>
        </w:rPr>
        <w:t>fragt, welche konkreten Schritte sie schon in Bezug auf ihre Staatsbürgerschaft g</w:t>
      </w:r>
      <w:r>
        <w:rPr>
          <w:lang w:val="de-DE"/>
        </w:rPr>
        <w:t>e</w:t>
      </w:r>
      <w:r>
        <w:rPr>
          <w:lang w:val="de-DE"/>
        </w:rPr>
        <w:t xml:space="preserve">setzt haben. Die Fragen zielten hauptsächlich darauf ab, inwiefern die Befragten schon Erkundigungen eingeholt haben. Die Ergebnisse finden sich in </w:t>
      </w:r>
      <w:r w:rsidRPr="00C26E0D">
        <w:rPr>
          <w:u w:val="single"/>
          <w:lang w:val="de-DE"/>
        </w:rPr>
        <w:t xml:space="preserve">Tabelle </w:t>
      </w:r>
      <w:r w:rsidR="0099305A">
        <w:rPr>
          <w:u w:val="single"/>
          <w:lang w:val="de-DE"/>
        </w:rPr>
        <w:t>7</w:t>
      </w:r>
      <w:r>
        <w:rPr>
          <w:lang w:val="de-DE"/>
        </w:rPr>
        <w:t xml:space="preserve">. </w:t>
      </w:r>
    </w:p>
    <w:p w14:paraId="08D2929E" w14:textId="77777777" w:rsidR="004E4B3D" w:rsidRDefault="004E4B3D" w:rsidP="00423F3B">
      <w:pPr>
        <w:jc w:val="left"/>
        <w:rPr>
          <w:lang w:val="de-DE"/>
        </w:rPr>
      </w:pPr>
    </w:p>
    <w:p w14:paraId="139E3C1D" w14:textId="05E00C56" w:rsidR="002B1075" w:rsidRDefault="002B1075" w:rsidP="002B1075">
      <w:pPr>
        <w:spacing w:before="240"/>
        <w:jc w:val="left"/>
        <w:rPr>
          <w:lang w:val="de-DE"/>
        </w:rPr>
      </w:pPr>
      <w:r w:rsidRPr="00C26E0D">
        <w:rPr>
          <w:u w:val="single"/>
          <w:lang w:val="de-DE"/>
        </w:rPr>
        <w:t xml:space="preserve">Tabelle </w:t>
      </w:r>
      <w:r w:rsidR="00C91E85">
        <w:rPr>
          <w:u w:val="single"/>
          <w:lang w:val="de-DE"/>
        </w:rPr>
        <w:t>7</w:t>
      </w:r>
      <w:r w:rsidRPr="00C26E0D">
        <w:rPr>
          <w:lang w:val="de-DE"/>
        </w:rPr>
        <w:t>: Erkundigungen der Befragten bezüglich (Doppel)Staatsbürgerschaft</w:t>
      </w:r>
      <w:r>
        <w:rPr>
          <w:lang w:val="de-DE"/>
        </w:rPr>
        <w:t xml:space="preserve"> (</w:t>
      </w:r>
      <w:r w:rsidRPr="00C26E0D">
        <w:rPr>
          <w:lang w:val="de-DE"/>
        </w:rPr>
        <w:t>A</w:t>
      </w:r>
      <w:r w:rsidRPr="00C26E0D">
        <w:rPr>
          <w:lang w:val="de-DE"/>
        </w:rPr>
        <w:t>n</w:t>
      </w:r>
      <w:r w:rsidRPr="00C26E0D">
        <w:rPr>
          <w:lang w:val="de-DE"/>
        </w:rPr>
        <w:t>gaben in Prozent</w:t>
      </w:r>
      <w:r w:rsidR="004E4B3D">
        <w:rPr>
          <w:lang w:val="de-DE"/>
        </w:rPr>
        <w:t>)</w:t>
      </w:r>
    </w:p>
    <w:tbl>
      <w:tblPr>
        <w:tblW w:w="5000" w:type="pct"/>
        <w:tblLayout w:type="fixed"/>
        <w:tblCellMar>
          <w:left w:w="70" w:type="dxa"/>
          <w:right w:w="70" w:type="dxa"/>
        </w:tblCellMar>
        <w:tblLook w:val="04A0" w:firstRow="1" w:lastRow="0" w:firstColumn="1" w:lastColumn="0" w:noHBand="0" w:noVBand="1"/>
      </w:tblPr>
      <w:tblGrid>
        <w:gridCol w:w="6307"/>
        <w:gridCol w:w="967"/>
        <w:gridCol w:w="967"/>
        <w:gridCol w:w="971"/>
      </w:tblGrid>
      <w:tr w:rsidR="00C26E0D" w:rsidRPr="00AF4335" w14:paraId="039A8FEB" w14:textId="77777777" w:rsidTr="004B0B10">
        <w:trPr>
          <w:trHeight w:val="519"/>
        </w:trPr>
        <w:tc>
          <w:tcPr>
            <w:tcW w:w="5000" w:type="pct"/>
            <w:gridSpan w:val="4"/>
            <w:tcBorders>
              <w:top w:val="single" w:sz="4" w:space="0" w:color="auto"/>
              <w:left w:val="nil"/>
              <w:right w:val="nil"/>
            </w:tcBorders>
            <w:shd w:val="clear" w:color="auto" w:fill="auto"/>
            <w:noWrap/>
            <w:vAlign w:val="center"/>
            <w:hideMark/>
          </w:tcPr>
          <w:p w14:paraId="66C3E0F9" w14:textId="77777777" w:rsidR="00C26E0D" w:rsidRPr="00AF4335" w:rsidRDefault="00C26E0D" w:rsidP="002B1075">
            <w:pPr>
              <w:spacing w:line="240" w:lineRule="auto"/>
              <w:rPr>
                <w:rFonts w:cs="Arial"/>
                <w:color w:val="000000"/>
                <w:sz w:val="22"/>
                <w:szCs w:val="22"/>
                <w:lang w:bidi="ar-SA"/>
              </w:rPr>
            </w:pPr>
            <w:r w:rsidRPr="00AF4335">
              <w:rPr>
                <w:rFonts w:cs="Arial"/>
                <w:color w:val="000000"/>
                <w:sz w:val="22"/>
                <w:szCs w:val="22"/>
                <w:lang w:bidi="ar-SA"/>
              </w:rPr>
              <w:t>Haben Sie sich schon erkundigt nach den Voraussetzungen für…</w:t>
            </w:r>
          </w:p>
        </w:tc>
      </w:tr>
      <w:tr w:rsidR="00C26E0D" w:rsidRPr="00AF4335" w14:paraId="329B6759" w14:textId="77777777" w:rsidTr="004B0B10">
        <w:trPr>
          <w:trHeight w:val="519"/>
        </w:trPr>
        <w:tc>
          <w:tcPr>
            <w:tcW w:w="3423" w:type="pct"/>
            <w:tcBorders>
              <w:left w:val="nil"/>
              <w:bottom w:val="single" w:sz="4" w:space="0" w:color="auto"/>
            </w:tcBorders>
            <w:shd w:val="clear" w:color="auto" w:fill="auto"/>
            <w:noWrap/>
            <w:vAlign w:val="bottom"/>
            <w:hideMark/>
          </w:tcPr>
          <w:p w14:paraId="5B8FED95" w14:textId="737F47E2" w:rsidR="00C26E0D" w:rsidRPr="00AF4335" w:rsidRDefault="00C26E0D" w:rsidP="00C26E0D">
            <w:pPr>
              <w:spacing w:line="240" w:lineRule="auto"/>
              <w:jc w:val="left"/>
              <w:rPr>
                <w:rFonts w:cs="Arial"/>
                <w:color w:val="000000"/>
                <w:sz w:val="22"/>
                <w:szCs w:val="22"/>
                <w:lang w:bidi="ar-SA"/>
              </w:rPr>
            </w:pPr>
          </w:p>
        </w:tc>
        <w:tc>
          <w:tcPr>
            <w:tcW w:w="525" w:type="pct"/>
            <w:tcBorders>
              <w:bottom w:val="single" w:sz="4" w:space="0" w:color="auto"/>
            </w:tcBorders>
            <w:shd w:val="clear" w:color="auto" w:fill="auto"/>
            <w:noWrap/>
            <w:vAlign w:val="center"/>
            <w:hideMark/>
          </w:tcPr>
          <w:p w14:paraId="3B9A4459" w14:textId="77777777" w:rsidR="00C26E0D" w:rsidRPr="00AF4335" w:rsidRDefault="00C26E0D" w:rsidP="00C26E0D">
            <w:pPr>
              <w:spacing w:line="240" w:lineRule="auto"/>
              <w:jc w:val="center"/>
              <w:rPr>
                <w:rFonts w:cs="Arial"/>
                <w:color w:val="000000"/>
                <w:sz w:val="22"/>
                <w:szCs w:val="22"/>
                <w:lang w:bidi="ar-SA"/>
              </w:rPr>
            </w:pPr>
            <w:r w:rsidRPr="00AF4335">
              <w:rPr>
                <w:rFonts w:cs="Arial"/>
                <w:color w:val="000000"/>
                <w:sz w:val="22"/>
                <w:szCs w:val="22"/>
                <w:lang w:bidi="ar-SA"/>
              </w:rPr>
              <w:t>Ja</w:t>
            </w:r>
          </w:p>
        </w:tc>
        <w:tc>
          <w:tcPr>
            <w:tcW w:w="525" w:type="pct"/>
            <w:tcBorders>
              <w:bottom w:val="single" w:sz="4" w:space="0" w:color="auto"/>
            </w:tcBorders>
            <w:shd w:val="clear" w:color="auto" w:fill="auto"/>
            <w:noWrap/>
            <w:vAlign w:val="center"/>
            <w:hideMark/>
          </w:tcPr>
          <w:p w14:paraId="283CCE4B" w14:textId="77777777" w:rsidR="00C26E0D" w:rsidRPr="00AF4335" w:rsidRDefault="00C26E0D" w:rsidP="00C26E0D">
            <w:pPr>
              <w:spacing w:line="240" w:lineRule="auto"/>
              <w:jc w:val="center"/>
              <w:rPr>
                <w:rFonts w:cs="Arial"/>
                <w:color w:val="000000"/>
                <w:sz w:val="22"/>
                <w:szCs w:val="22"/>
                <w:lang w:bidi="ar-SA"/>
              </w:rPr>
            </w:pPr>
            <w:r w:rsidRPr="00AF4335">
              <w:rPr>
                <w:rFonts w:cs="Arial"/>
                <w:color w:val="000000"/>
                <w:sz w:val="22"/>
                <w:szCs w:val="22"/>
                <w:lang w:bidi="ar-SA"/>
              </w:rPr>
              <w:t>Nein</w:t>
            </w:r>
          </w:p>
        </w:tc>
        <w:tc>
          <w:tcPr>
            <w:tcW w:w="526" w:type="pct"/>
            <w:tcBorders>
              <w:left w:val="nil"/>
              <w:bottom w:val="single" w:sz="4" w:space="0" w:color="auto"/>
              <w:right w:val="nil"/>
            </w:tcBorders>
            <w:shd w:val="clear" w:color="auto" w:fill="auto"/>
            <w:noWrap/>
            <w:vAlign w:val="center"/>
            <w:hideMark/>
          </w:tcPr>
          <w:p w14:paraId="3FC2E36B" w14:textId="77777777" w:rsidR="00C26E0D" w:rsidRPr="00AF4335" w:rsidRDefault="00C26E0D" w:rsidP="00C26E0D">
            <w:pPr>
              <w:spacing w:line="240" w:lineRule="auto"/>
              <w:jc w:val="center"/>
              <w:rPr>
                <w:rFonts w:cs="Arial"/>
                <w:color w:val="000000"/>
                <w:sz w:val="22"/>
                <w:szCs w:val="22"/>
                <w:lang w:bidi="ar-SA"/>
              </w:rPr>
            </w:pPr>
            <w:r w:rsidRPr="00AF4335">
              <w:rPr>
                <w:rFonts w:cs="Arial"/>
                <w:color w:val="000000"/>
                <w:sz w:val="22"/>
                <w:szCs w:val="22"/>
                <w:lang w:bidi="ar-SA"/>
              </w:rPr>
              <w:t>Gesamt</w:t>
            </w:r>
          </w:p>
        </w:tc>
      </w:tr>
      <w:tr w:rsidR="00C26E0D" w:rsidRPr="00AF4335" w14:paraId="75773B78" w14:textId="77777777" w:rsidTr="00C26E0D">
        <w:trPr>
          <w:trHeight w:val="519"/>
        </w:trPr>
        <w:tc>
          <w:tcPr>
            <w:tcW w:w="3423" w:type="pct"/>
            <w:tcBorders>
              <w:top w:val="nil"/>
              <w:left w:val="nil"/>
              <w:bottom w:val="single" w:sz="4" w:space="0" w:color="auto"/>
            </w:tcBorders>
            <w:shd w:val="clear" w:color="auto" w:fill="auto"/>
            <w:noWrap/>
            <w:vAlign w:val="center"/>
            <w:hideMark/>
          </w:tcPr>
          <w:p w14:paraId="0ED89541" w14:textId="77777777" w:rsidR="00C26E0D" w:rsidRPr="00AF4335" w:rsidRDefault="00C26E0D" w:rsidP="00C26E0D">
            <w:pPr>
              <w:spacing w:line="240" w:lineRule="auto"/>
              <w:jc w:val="left"/>
              <w:rPr>
                <w:rFonts w:cs="Arial"/>
                <w:color w:val="000000"/>
                <w:sz w:val="22"/>
                <w:szCs w:val="22"/>
                <w:lang w:bidi="ar-SA"/>
              </w:rPr>
            </w:pPr>
            <w:r w:rsidRPr="00AF4335">
              <w:rPr>
                <w:rFonts w:cs="Arial"/>
                <w:color w:val="000000"/>
                <w:sz w:val="22"/>
                <w:szCs w:val="22"/>
                <w:lang w:bidi="ar-SA"/>
              </w:rPr>
              <w:t>...den Erwerb der Staatsbürgerschaft in Ihrem derzeitigen Au</w:t>
            </w:r>
            <w:r w:rsidRPr="00AF4335">
              <w:rPr>
                <w:rFonts w:cs="Arial"/>
                <w:color w:val="000000"/>
                <w:sz w:val="22"/>
                <w:szCs w:val="22"/>
                <w:lang w:bidi="ar-SA"/>
              </w:rPr>
              <w:t>f</w:t>
            </w:r>
            <w:r w:rsidRPr="00AF4335">
              <w:rPr>
                <w:rFonts w:cs="Arial"/>
                <w:color w:val="000000"/>
                <w:sz w:val="22"/>
                <w:szCs w:val="22"/>
                <w:lang w:bidi="ar-SA"/>
              </w:rPr>
              <w:t>enthaltsland?</w:t>
            </w:r>
          </w:p>
        </w:tc>
        <w:tc>
          <w:tcPr>
            <w:tcW w:w="525" w:type="pct"/>
            <w:tcBorders>
              <w:top w:val="single" w:sz="4" w:space="0" w:color="auto"/>
              <w:bottom w:val="single" w:sz="4" w:space="0" w:color="auto"/>
            </w:tcBorders>
            <w:shd w:val="clear" w:color="auto" w:fill="auto"/>
            <w:noWrap/>
            <w:vAlign w:val="center"/>
            <w:hideMark/>
          </w:tcPr>
          <w:p w14:paraId="25E2A2E0" w14:textId="77777777" w:rsidR="00C26E0D" w:rsidRPr="00AF4335" w:rsidRDefault="00C26E0D" w:rsidP="00C26E0D">
            <w:pPr>
              <w:spacing w:line="240" w:lineRule="auto"/>
              <w:jc w:val="center"/>
              <w:rPr>
                <w:rFonts w:cs="Arial"/>
                <w:color w:val="000000"/>
                <w:sz w:val="22"/>
                <w:szCs w:val="22"/>
                <w:lang w:bidi="ar-SA"/>
              </w:rPr>
            </w:pPr>
            <w:r w:rsidRPr="00AF4335">
              <w:rPr>
                <w:rFonts w:cs="Arial"/>
                <w:color w:val="000000"/>
                <w:sz w:val="22"/>
                <w:szCs w:val="22"/>
                <w:lang w:bidi="ar-SA"/>
              </w:rPr>
              <w:t>60</w:t>
            </w:r>
          </w:p>
        </w:tc>
        <w:tc>
          <w:tcPr>
            <w:tcW w:w="525" w:type="pct"/>
            <w:tcBorders>
              <w:top w:val="single" w:sz="4" w:space="0" w:color="auto"/>
              <w:bottom w:val="single" w:sz="4" w:space="0" w:color="auto"/>
            </w:tcBorders>
            <w:shd w:val="clear" w:color="auto" w:fill="auto"/>
            <w:noWrap/>
            <w:vAlign w:val="center"/>
            <w:hideMark/>
          </w:tcPr>
          <w:p w14:paraId="028F3110" w14:textId="77777777" w:rsidR="00C26E0D" w:rsidRPr="00AF4335" w:rsidRDefault="00C26E0D" w:rsidP="00C26E0D">
            <w:pPr>
              <w:spacing w:line="240" w:lineRule="auto"/>
              <w:jc w:val="center"/>
              <w:rPr>
                <w:rFonts w:cs="Arial"/>
                <w:color w:val="000000"/>
                <w:sz w:val="22"/>
                <w:szCs w:val="22"/>
                <w:lang w:bidi="ar-SA"/>
              </w:rPr>
            </w:pPr>
            <w:r w:rsidRPr="00AF4335">
              <w:rPr>
                <w:rFonts w:cs="Arial"/>
                <w:color w:val="000000"/>
                <w:sz w:val="22"/>
                <w:szCs w:val="22"/>
                <w:lang w:bidi="ar-SA"/>
              </w:rPr>
              <w:t>40</w:t>
            </w:r>
          </w:p>
        </w:tc>
        <w:tc>
          <w:tcPr>
            <w:tcW w:w="526" w:type="pct"/>
            <w:tcBorders>
              <w:top w:val="nil"/>
              <w:left w:val="nil"/>
              <w:bottom w:val="single" w:sz="4" w:space="0" w:color="auto"/>
              <w:right w:val="nil"/>
            </w:tcBorders>
            <w:shd w:val="clear" w:color="auto" w:fill="auto"/>
            <w:noWrap/>
            <w:vAlign w:val="center"/>
            <w:hideMark/>
          </w:tcPr>
          <w:p w14:paraId="4A59E371" w14:textId="77777777" w:rsidR="00C26E0D" w:rsidRPr="00AF4335" w:rsidRDefault="00C26E0D" w:rsidP="00C26E0D">
            <w:pPr>
              <w:spacing w:line="240" w:lineRule="auto"/>
              <w:jc w:val="center"/>
              <w:rPr>
                <w:rFonts w:cs="Arial"/>
                <w:color w:val="000000"/>
                <w:sz w:val="22"/>
                <w:szCs w:val="22"/>
                <w:lang w:bidi="ar-SA"/>
              </w:rPr>
            </w:pPr>
            <w:r w:rsidRPr="00AF4335">
              <w:rPr>
                <w:rFonts w:cs="Arial"/>
                <w:color w:val="000000"/>
                <w:sz w:val="22"/>
                <w:szCs w:val="22"/>
                <w:lang w:bidi="ar-SA"/>
              </w:rPr>
              <w:t>100</w:t>
            </w:r>
          </w:p>
        </w:tc>
      </w:tr>
      <w:tr w:rsidR="00C26E0D" w:rsidRPr="00AF4335" w14:paraId="323CCFC7" w14:textId="77777777" w:rsidTr="00C26E0D">
        <w:trPr>
          <w:trHeight w:val="519"/>
        </w:trPr>
        <w:tc>
          <w:tcPr>
            <w:tcW w:w="3423" w:type="pct"/>
            <w:tcBorders>
              <w:top w:val="nil"/>
              <w:left w:val="nil"/>
              <w:bottom w:val="single" w:sz="4" w:space="0" w:color="auto"/>
            </w:tcBorders>
            <w:shd w:val="clear" w:color="auto" w:fill="auto"/>
            <w:noWrap/>
            <w:vAlign w:val="center"/>
            <w:hideMark/>
          </w:tcPr>
          <w:p w14:paraId="7A315E21" w14:textId="77777777" w:rsidR="00C26E0D" w:rsidRPr="00AF4335" w:rsidRDefault="00C26E0D" w:rsidP="00C26E0D">
            <w:pPr>
              <w:spacing w:line="240" w:lineRule="auto"/>
              <w:jc w:val="left"/>
              <w:rPr>
                <w:rFonts w:cs="Arial"/>
                <w:color w:val="000000"/>
                <w:sz w:val="22"/>
                <w:szCs w:val="22"/>
                <w:lang w:bidi="ar-SA"/>
              </w:rPr>
            </w:pPr>
            <w:r w:rsidRPr="00AF4335">
              <w:rPr>
                <w:rFonts w:cs="Arial"/>
                <w:color w:val="000000"/>
                <w:sz w:val="22"/>
                <w:szCs w:val="22"/>
                <w:lang w:bidi="ar-SA"/>
              </w:rPr>
              <w:t>...den Erwerb einer Doppelstaatsbürgerschaft?</w:t>
            </w:r>
          </w:p>
        </w:tc>
        <w:tc>
          <w:tcPr>
            <w:tcW w:w="525" w:type="pct"/>
            <w:tcBorders>
              <w:top w:val="single" w:sz="4" w:space="0" w:color="auto"/>
              <w:bottom w:val="single" w:sz="4" w:space="0" w:color="auto"/>
            </w:tcBorders>
            <w:shd w:val="clear" w:color="auto" w:fill="auto"/>
            <w:noWrap/>
            <w:vAlign w:val="center"/>
            <w:hideMark/>
          </w:tcPr>
          <w:p w14:paraId="52F51BA3" w14:textId="77777777" w:rsidR="00C26E0D" w:rsidRPr="00AF4335" w:rsidRDefault="00C26E0D" w:rsidP="00C26E0D">
            <w:pPr>
              <w:spacing w:line="240" w:lineRule="auto"/>
              <w:jc w:val="center"/>
              <w:rPr>
                <w:rFonts w:cs="Arial"/>
                <w:color w:val="000000"/>
                <w:sz w:val="22"/>
                <w:szCs w:val="22"/>
                <w:lang w:bidi="ar-SA"/>
              </w:rPr>
            </w:pPr>
            <w:r w:rsidRPr="00AF4335">
              <w:rPr>
                <w:rFonts w:cs="Arial"/>
                <w:color w:val="000000"/>
                <w:sz w:val="22"/>
                <w:szCs w:val="22"/>
                <w:lang w:bidi="ar-SA"/>
              </w:rPr>
              <w:t>52</w:t>
            </w:r>
          </w:p>
        </w:tc>
        <w:tc>
          <w:tcPr>
            <w:tcW w:w="525" w:type="pct"/>
            <w:tcBorders>
              <w:top w:val="single" w:sz="4" w:space="0" w:color="auto"/>
              <w:bottom w:val="single" w:sz="4" w:space="0" w:color="auto"/>
            </w:tcBorders>
            <w:shd w:val="clear" w:color="auto" w:fill="auto"/>
            <w:noWrap/>
            <w:vAlign w:val="center"/>
            <w:hideMark/>
          </w:tcPr>
          <w:p w14:paraId="20321B9A" w14:textId="77777777" w:rsidR="00C26E0D" w:rsidRPr="00AF4335" w:rsidRDefault="00C26E0D" w:rsidP="00C26E0D">
            <w:pPr>
              <w:spacing w:line="240" w:lineRule="auto"/>
              <w:jc w:val="center"/>
              <w:rPr>
                <w:rFonts w:cs="Arial"/>
                <w:color w:val="000000"/>
                <w:sz w:val="22"/>
                <w:szCs w:val="22"/>
                <w:lang w:bidi="ar-SA"/>
              </w:rPr>
            </w:pPr>
            <w:r w:rsidRPr="00AF4335">
              <w:rPr>
                <w:rFonts w:cs="Arial"/>
                <w:color w:val="000000"/>
                <w:sz w:val="22"/>
                <w:szCs w:val="22"/>
                <w:lang w:bidi="ar-SA"/>
              </w:rPr>
              <w:t>48</w:t>
            </w:r>
          </w:p>
        </w:tc>
        <w:tc>
          <w:tcPr>
            <w:tcW w:w="526" w:type="pct"/>
            <w:tcBorders>
              <w:top w:val="nil"/>
              <w:left w:val="nil"/>
              <w:bottom w:val="single" w:sz="4" w:space="0" w:color="auto"/>
              <w:right w:val="nil"/>
            </w:tcBorders>
            <w:shd w:val="clear" w:color="auto" w:fill="auto"/>
            <w:noWrap/>
            <w:vAlign w:val="center"/>
            <w:hideMark/>
          </w:tcPr>
          <w:p w14:paraId="3D599F30" w14:textId="77777777" w:rsidR="00C26E0D" w:rsidRPr="00AF4335" w:rsidRDefault="00C26E0D" w:rsidP="00C26E0D">
            <w:pPr>
              <w:spacing w:line="240" w:lineRule="auto"/>
              <w:jc w:val="center"/>
              <w:rPr>
                <w:rFonts w:cs="Arial"/>
                <w:color w:val="000000"/>
                <w:sz w:val="22"/>
                <w:szCs w:val="22"/>
                <w:lang w:bidi="ar-SA"/>
              </w:rPr>
            </w:pPr>
            <w:r w:rsidRPr="00AF4335">
              <w:rPr>
                <w:rFonts w:cs="Arial"/>
                <w:color w:val="000000"/>
                <w:sz w:val="22"/>
                <w:szCs w:val="22"/>
                <w:lang w:bidi="ar-SA"/>
              </w:rPr>
              <w:t>100</w:t>
            </w:r>
          </w:p>
        </w:tc>
      </w:tr>
      <w:tr w:rsidR="00C26E0D" w:rsidRPr="00AF4335" w14:paraId="6A624AF0" w14:textId="77777777" w:rsidTr="00C26E0D">
        <w:trPr>
          <w:trHeight w:val="519"/>
        </w:trPr>
        <w:tc>
          <w:tcPr>
            <w:tcW w:w="3423" w:type="pct"/>
            <w:tcBorders>
              <w:top w:val="nil"/>
              <w:left w:val="nil"/>
              <w:bottom w:val="single" w:sz="4" w:space="0" w:color="auto"/>
            </w:tcBorders>
            <w:shd w:val="clear" w:color="auto" w:fill="auto"/>
            <w:noWrap/>
            <w:vAlign w:val="center"/>
            <w:hideMark/>
          </w:tcPr>
          <w:p w14:paraId="61FBC8E0" w14:textId="77777777" w:rsidR="00C26E0D" w:rsidRPr="00AF4335" w:rsidRDefault="00C26E0D" w:rsidP="00C26E0D">
            <w:pPr>
              <w:spacing w:line="240" w:lineRule="auto"/>
              <w:jc w:val="left"/>
              <w:rPr>
                <w:rFonts w:cs="Arial"/>
                <w:color w:val="000000"/>
                <w:sz w:val="22"/>
                <w:szCs w:val="22"/>
                <w:lang w:bidi="ar-SA"/>
              </w:rPr>
            </w:pPr>
            <w:r w:rsidRPr="00AF4335">
              <w:rPr>
                <w:rFonts w:cs="Arial"/>
                <w:color w:val="000000"/>
                <w:sz w:val="22"/>
                <w:szCs w:val="22"/>
                <w:lang w:bidi="ar-SA"/>
              </w:rPr>
              <w:t>...das Beibehalten der österreichischen Staatsbürgerschaft bei Annahme der Staatsbürgerschaft des Aufenthaltslandes?</w:t>
            </w:r>
          </w:p>
        </w:tc>
        <w:tc>
          <w:tcPr>
            <w:tcW w:w="525" w:type="pct"/>
            <w:tcBorders>
              <w:top w:val="single" w:sz="4" w:space="0" w:color="auto"/>
              <w:bottom w:val="single" w:sz="4" w:space="0" w:color="auto"/>
            </w:tcBorders>
            <w:shd w:val="clear" w:color="auto" w:fill="auto"/>
            <w:noWrap/>
            <w:vAlign w:val="center"/>
            <w:hideMark/>
          </w:tcPr>
          <w:p w14:paraId="13563370" w14:textId="77777777" w:rsidR="00C26E0D" w:rsidRPr="00AF4335" w:rsidRDefault="00C26E0D" w:rsidP="00C26E0D">
            <w:pPr>
              <w:spacing w:line="240" w:lineRule="auto"/>
              <w:jc w:val="center"/>
              <w:rPr>
                <w:rFonts w:cs="Arial"/>
                <w:color w:val="000000"/>
                <w:sz w:val="22"/>
                <w:szCs w:val="22"/>
                <w:lang w:bidi="ar-SA"/>
              </w:rPr>
            </w:pPr>
            <w:r w:rsidRPr="00AF4335">
              <w:rPr>
                <w:rFonts w:cs="Arial"/>
                <w:color w:val="000000"/>
                <w:sz w:val="22"/>
                <w:szCs w:val="22"/>
                <w:lang w:bidi="ar-SA"/>
              </w:rPr>
              <w:t>31</w:t>
            </w:r>
          </w:p>
        </w:tc>
        <w:tc>
          <w:tcPr>
            <w:tcW w:w="525" w:type="pct"/>
            <w:tcBorders>
              <w:top w:val="single" w:sz="4" w:space="0" w:color="auto"/>
              <w:bottom w:val="single" w:sz="4" w:space="0" w:color="auto"/>
            </w:tcBorders>
            <w:shd w:val="clear" w:color="auto" w:fill="auto"/>
            <w:noWrap/>
            <w:vAlign w:val="center"/>
            <w:hideMark/>
          </w:tcPr>
          <w:p w14:paraId="6CFFFF0A" w14:textId="77777777" w:rsidR="00C26E0D" w:rsidRPr="00AF4335" w:rsidRDefault="00C26E0D" w:rsidP="00C26E0D">
            <w:pPr>
              <w:spacing w:line="240" w:lineRule="auto"/>
              <w:jc w:val="center"/>
              <w:rPr>
                <w:rFonts w:cs="Arial"/>
                <w:color w:val="000000"/>
                <w:sz w:val="22"/>
                <w:szCs w:val="22"/>
                <w:lang w:bidi="ar-SA"/>
              </w:rPr>
            </w:pPr>
            <w:r w:rsidRPr="00AF4335">
              <w:rPr>
                <w:rFonts w:cs="Arial"/>
                <w:color w:val="000000"/>
                <w:sz w:val="22"/>
                <w:szCs w:val="22"/>
                <w:lang w:bidi="ar-SA"/>
              </w:rPr>
              <w:t>69</w:t>
            </w:r>
          </w:p>
        </w:tc>
        <w:tc>
          <w:tcPr>
            <w:tcW w:w="526" w:type="pct"/>
            <w:tcBorders>
              <w:top w:val="nil"/>
              <w:left w:val="nil"/>
              <w:bottom w:val="single" w:sz="4" w:space="0" w:color="auto"/>
              <w:right w:val="nil"/>
            </w:tcBorders>
            <w:shd w:val="clear" w:color="auto" w:fill="auto"/>
            <w:noWrap/>
            <w:vAlign w:val="center"/>
            <w:hideMark/>
          </w:tcPr>
          <w:p w14:paraId="33E81B0B" w14:textId="77777777" w:rsidR="00C26E0D" w:rsidRPr="00AF4335" w:rsidRDefault="00C26E0D" w:rsidP="00C26E0D">
            <w:pPr>
              <w:spacing w:line="240" w:lineRule="auto"/>
              <w:jc w:val="center"/>
              <w:rPr>
                <w:rFonts w:cs="Arial"/>
                <w:color w:val="000000"/>
                <w:sz w:val="22"/>
                <w:szCs w:val="22"/>
                <w:lang w:bidi="ar-SA"/>
              </w:rPr>
            </w:pPr>
            <w:r w:rsidRPr="00AF4335">
              <w:rPr>
                <w:rFonts w:cs="Arial"/>
                <w:color w:val="000000"/>
                <w:sz w:val="22"/>
                <w:szCs w:val="22"/>
                <w:lang w:bidi="ar-SA"/>
              </w:rPr>
              <w:t>100</w:t>
            </w:r>
          </w:p>
        </w:tc>
      </w:tr>
    </w:tbl>
    <w:p w14:paraId="0E91AB3D" w14:textId="6AE7A962" w:rsidR="00C26E0D" w:rsidRPr="00C26E0D" w:rsidRDefault="00C26E0D" w:rsidP="00C26E0D">
      <w:pPr>
        <w:jc w:val="left"/>
        <w:rPr>
          <w:lang w:val="de-DE"/>
        </w:rPr>
      </w:pPr>
      <w:r w:rsidRPr="00C26E0D">
        <w:rPr>
          <w:lang w:val="de-DE"/>
        </w:rPr>
        <w:t>N=2.403</w:t>
      </w:r>
    </w:p>
    <w:p w14:paraId="00EBF32F" w14:textId="77777777" w:rsidR="00C26E0D" w:rsidRDefault="00C26E0D" w:rsidP="00423F3B">
      <w:pPr>
        <w:jc w:val="left"/>
        <w:rPr>
          <w:lang w:val="de-DE"/>
        </w:rPr>
      </w:pPr>
    </w:p>
    <w:p w14:paraId="0E4F4C63" w14:textId="66BF5455" w:rsidR="00C26E0D" w:rsidRDefault="007039BF" w:rsidP="00423F3B">
      <w:pPr>
        <w:jc w:val="left"/>
        <w:rPr>
          <w:lang w:val="de-DE"/>
        </w:rPr>
      </w:pPr>
      <w:r w:rsidRPr="007039BF">
        <w:rPr>
          <w:highlight w:val="cyan"/>
          <w:lang w:val="de-DE"/>
        </w:rPr>
        <w:lastRenderedPageBreak/>
        <w:t>Q8:</w:t>
      </w:r>
      <w:r>
        <w:rPr>
          <w:lang w:val="de-DE"/>
        </w:rPr>
        <w:t xml:space="preserve"> </w:t>
      </w:r>
      <w:r w:rsidR="00FB53EB">
        <w:rPr>
          <w:lang w:val="de-DE"/>
        </w:rPr>
        <w:t>Knapp zwei Drittel</w:t>
      </w:r>
      <w:r w:rsidR="00570EF7">
        <w:rPr>
          <w:lang w:val="de-DE"/>
        </w:rPr>
        <w:t xml:space="preserve"> der Befragten (60</w:t>
      </w:r>
      <w:r w:rsidR="00FB53EB">
        <w:rPr>
          <w:lang w:val="de-DE"/>
        </w:rPr>
        <w:t>%) geben an, sich schon über die Vorau</w:t>
      </w:r>
      <w:r w:rsidR="00FB53EB">
        <w:rPr>
          <w:lang w:val="de-DE"/>
        </w:rPr>
        <w:t>s</w:t>
      </w:r>
      <w:r w:rsidR="00FB53EB">
        <w:rPr>
          <w:lang w:val="de-DE"/>
        </w:rPr>
        <w:t>setzungen über den Erwerb der Staatsbürgerschaft in</w:t>
      </w:r>
      <w:r w:rsidR="00BE532B">
        <w:rPr>
          <w:lang w:val="de-DE"/>
        </w:rPr>
        <w:t xml:space="preserve"> ihrem derzeitigen</w:t>
      </w:r>
      <w:r w:rsidR="00FB53EB">
        <w:rPr>
          <w:lang w:val="de-DE"/>
        </w:rPr>
        <w:t xml:space="preserve"> Aufenthalt</w:t>
      </w:r>
      <w:r w:rsidR="00FB53EB">
        <w:rPr>
          <w:lang w:val="de-DE"/>
        </w:rPr>
        <w:t>s</w:t>
      </w:r>
      <w:r w:rsidR="00FB53EB">
        <w:rPr>
          <w:lang w:val="de-DE"/>
        </w:rPr>
        <w:t xml:space="preserve">land erkundigt zu haben. </w:t>
      </w:r>
      <w:r w:rsidR="003565F9">
        <w:rPr>
          <w:lang w:val="de-DE"/>
        </w:rPr>
        <w:t>Die Gruppe derer, die seit 11 bis 20 Jahren im Gastland lebt, hat dies überdurchschnittlich oft getan. Besonders die in Nordamerika und Aus</w:t>
      </w:r>
      <w:r w:rsidR="003565F9">
        <w:rPr>
          <w:lang w:val="de-DE"/>
        </w:rPr>
        <w:t>t</w:t>
      </w:r>
      <w:r w:rsidR="003565F9">
        <w:rPr>
          <w:lang w:val="de-DE"/>
        </w:rPr>
        <w:t>ralien-Ozeanien lebenden Personen haben sich oft über die Voraussetzungen des Staatsbürgerschaftserwerbs erkundigt, während hingegen die im Mittleren Osten, in Zentralamerika und in Afrika lebenden Befragten sich besonders selten erkundigt haben. Personen mit Hochschulabschluss haben sich öfter erkundigt als Personen ohne entsprechenden Abschluss. Hinsichtlich des Geschlechts gibt es keine Unte</w:t>
      </w:r>
      <w:r w:rsidR="003565F9">
        <w:rPr>
          <w:lang w:val="de-DE"/>
        </w:rPr>
        <w:t>r</w:t>
      </w:r>
      <w:r w:rsidR="003565F9">
        <w:rPr>
          <w:lang w:val="de-DE"/>
        </w:rPr>
        <w:t>schiede. Von den Über-50-Jährigen haben sich weniger erkun</w:t>
      </w:r>
      <w:r w:rsidR="00435EEF">
        <w:rPr>
          <w:lang w:val="de-DE"/>
        </w:rPr>
        <w:t>digt als von den j</w:t>
      </w:r>
      <w:r w:rsidR="003565F9">
        <w:rPr>
          <w:lang w:val="de-DE"/>
        </w:rPr>
        <w:t>üng</w:t>
      </w:r>
      <w:r w:rsidR="003565F9">
        <w:rPr>
          <w:lang w:val="de-DE"/>
        </w:rPr>
        <w:t>e</w:t>
      </w:r>
      <w:r w:rsidR="003565F9">
        <w:rPr>
          <w:lang w:val="de-DE"/>
        </w:rPr>
        <w:t>ren</w:t>
      </w:r>
      <w:r w:rsidR="00435EEF" w:rsidRPr="00435EEF">
        <w:rPr>
          <w:lang w:val="de-DE"/>
        </w:rPr>
        <w:t xml:space="preserve"> </w:t>
      </w:r>
      <w:r w:rsidR="00435EEF">
        <w:rPr>
          <w:lang w:val="de-DE"/>
        </w:rPr>
        <w:t>Personen</w:t>
      </w:r>
      <w:r w:rsidR="003565F9">
        <w:rPr>
          <w:lang w:val="de-DE"/>
        </w:rPr>
        <w:t xml:space="preserve">. </w:t>
      </w:r>
    </w:p>
    <w:p w14:paraId="032B7AEA" w14:textId="2FB44025" w:rsidR="007039BF" w:rsidRDefault="00BE532B" w:rsidP="00423F3B">
      <w:pPr>
        <w:jc w:val="left"/>
        <w:rPr>
          <w:lang w:val="de-DE"/>
        </w:rPr>
      </w:pPr>
      <w:r w:rsidRPr="00BE532B">
        <w:rPr>
          <w:highlight w:val="cyan"/>
          <w:lang w:val="de-DE"/>
        </w:rPr>
        <w:t>Q9:</w:t>
      </w:r>
      <w:r>
        <w:rPr>
          <w:lang w:val="de-DE"/>
        </w:rPr>
        <w:t xml:space="preserve"> </w:t>
      </w:r>
      <w:r w:rsidR="00570EF7">
        <w:rPr>
          <w:lang w:val="de-DE"/>
        </w:rPr>
        <w:t>Zwei Drittel der Befragten (67</w:t>
      </w:r>
      <w:r>
        <w:rPr>
          <w:lang w:val="de-DE"/>
        </w:rPr>
        <w:t>%) gibt an, die Voraussetzungen für den Erwerb der Staatsbürgerschaft in ihrem derzeitigen A</w:t>
      </w:r>
      <w:r w:rsidR="00570EF7">
        <w:rPr>
          <w:lang w:val="de-DE"/>
        </w:rPr>
        <w:t>ufenthaltsland zu erfüllen. 13</w:t>
      </w:r>
      <w:r>
        <w:rPr>
          <w:lang w:val="de-DE"/>
        </w:rPr>
        <w:t>% der B</w:t>
      </w:r>
      <w:r>
        <w:rPr>
          <w:lang w:val="de-DE"/>
        </w:rPr>
        <w:t>e</w:t>
      </w:r>
      <w:r>
        <w:rPr>
          <w:lang w:val="de-DE"/>
        </w:rPr>
        <w:t>frag</w:t>
      </w:r>
      <w:r w:rsidR="00570EF7">
        <w:rPr>
          <w:lang w:val="de-DE"/>
        </w:rPr>
        <w:t>ten verneinen diese Fragen, 20</w:t>
      </w:r>
      <w:r>
        <w:rPr>
          <w:lang w:val="de-DE"/>
        </w:rPr>
        <w:t>% wissen es nicht.</w:t>
      </w:r>
      <w:r w:rsidR="006E066C">
        <w:rPr>
          <w:lang w:val="de-DE"/>
        </w:rPr>
        <w:t xml:space="preserve"> Von den Personen, die schon seit über 10 Jahren im Aufenthaltsland wohnen, wissen drei Viertel, dass sie die V</w:t>
      </w:r>
      <w:r w:rsidR="006E066C">
        <w:rPr>
          <w:lang w:val="de-DE"/>
        </w:rPr>
        <w:t>o</w:t>
      </w:r>
      <w:r w:rsidR="006E066C">
        <w:rPr>
          <w:lang w:val="de-DE"/>
        </w:rPr>
        <w:t>raussetzungen erfüllen. Bei den Befragten mit kürzerem Aufenthalt ist es ein deutlich geringerer Anteil, allerdings wissen hier auch mehr Personen nicht, ob sie die V</w:t>
      </w:r>
      <w:r w:rsidR="006E066C">
        <w:rPr>
          <w:lang w:val="de-DE"/>
        </w:rPr>
        <w:t>o</w:t>
      </w:r>
      <w:r w:rsidR="006E066C">
        <w:rPr>
          <w:lang w:val="de-DE"/>
        </w:rPr>
        <w:t>raussetzungen erfüllen. Der Prozentsatz der Befragten, die wissen, dass sie die V</w:t>
      </w:r>
      <w:r w:rsidR="006E066C">
        <w:rPr>
          <w:lang w:val="de-DE"/>
        </w:rPr>
        <w:t>o</w:t>
      </w:r>
      <w:r w:rsidR="006E066C">
        <w:rPr>
          <w:lang w:val="de-DE"/>
        </w:rPr>
        <w:t xml:space="preserve">raussetzungen erfüllen, liegt ausschließlich in Nordamerika und Australien über dem Gesamtdurchschnitt. Hier ist auch der Anteil derer gering, die nicht wissen, ob sie die Voraussetzungen erfüllen. </w:t>
      </w:r>
      <w:r w:rsidR="005A4489">
        <w:rPr>
          <w:lang w:val="de-DE"/>
        </w:rPr>
        <w:t xml:space="preserve">Anhand der Bildung zeigen sich keine Unterschiede, was die Erfüllung der Voraussetzungen betrifft, jedoch sind Personen mit höherer Bildung etwas besser informiert. </w:t>
      </w:r>
      <w:r w:rsidR="00D22F4A">
        <w:rPr>
          <w:lang w:val="de-DE"/>
        </w:rPr>
        <w:t xml:space="preserve">Hinsichtlich </w:t>
      </w:r>
      <w:r w:rsidR="006105A0">
        <w:rPr>
          <w:lang w:val="de-DE"/>
        </w:rPr>
        <w:t xml:space="preserve">des </w:t>
      </w:r>
      <w:r w:rsidR="00D22F4A">
        <w:rPr>
          <w:lang w:val="de-DE"/>
        </w:rPr>
        <w:t>Geschlecht</w:t>
      </w:r>
      <w:r w:rsidR="006105A0">
        <w:rPr>
          <w:lang w:val="de-DE"/>
        </w:rPr>
        <w:t>s</w:t>
      </w:r>
      <w:r w:rsidR="00D22F4A">
        <w:rPr>
          <w:lang w:val="de-DE"/>
        </w:rPr>
        <w:t xml:space="preserve"> gibt es keine signifikanten U</w:t>
      </w:r>
      <w:r w:rsidR="00D22F4A">
        <w:rPr>
          <w:lang w:val="de-DE"/>
        </w:rPr>
        <w:t>n</w:t>
      </w:r>
      <w:r w:rsidR="00D22F4A">
        <w:rPr>
          <w:lang w:val="de-DE"/>
        </w:rPr>
        <w:t>terschiede, beim Alter sind die 35- bis 54-Jährigen etwas besser informiert als die anderen Altersgruppen.</w:t>
      </w:r>
    </w:p>
    <w:p w14:paraId="6A25A0C3" w14:textId="77777777" w:rsidR="0099305A" w:rsidRDefault="0099305A" w:rsidP="00423F3B">
      <w:pPr>
        <w:jc w:val="left"/>
        <w:rPr>
          <w:lang w:val="de-DE"/>
        </w:rPr>
      </w:pPr>
    </w:p>
    <w:p w14:paraId="521859FD" w14:textId="581B3397" w:rsidR="00BE532B" w:rsidRDefault="008737ED" w:rsidP="00423F3B">
      <w:pPr>
        <w:jc w:val="left"/>
        <w:rPr>
          <w:lang w:val="de-DE"/>
        </w:rPr>
      </w:pPr>
      <w:r w:rsidRPr="008737ED">
        <w:rPr>
          <w:highlight w:val="cyan"/>
          <w:lang w:val="de-DE"/>
        </w:rPr>
        <w:t>Q10:</w:t>
      </w:r>
      <w:r>
        <w:rPr>
          <w:lang w:val="de-DE"/>
        </w:rPr>
        <w:t xml:space="preserve"> Circ</w:t>
      </w:r>
      <w:r w:rsidR="00570EF7">
        <w:rPr>
          <w:lang w:val="de-DE"/>
        </w:rPr>
        <w:t>a die Hälfte der Befragten (52</w:t>
      </w:r>
      <w:r>
        <w:rPr>
          <w:lang w:val="de-DE"/>
        </w:rPr>
        <w:t>%) hat sich schon erkundigt, was die Vorau</w:t>
      </w:r>
      <w:r>
        <w:rPr>
          <w:lang w:val="de-DE"/>
        </w:rPr>
        <w:t>s</w:t>
      </w:r>
      <w:r>
        <w:rPr>
          <w:lang w:val="de-DE"/>
        </w:rPr>
        <w:t>setzungen für den Erwerb einer Doppelstaatsbürgerschaft sind. Die andere Hälfte diesbezüglich nicht erkundigt.</w:t>
      </w:r>
      <w:r w:rsidR="001369D4">
        <w:rPr>
          <w:lang w:val="de-DE"/>
        </w:rPr>
        <w:t xml:space="preserve"> Bezüglich der Unterschiede zwischen verschiedenen Personengruppen zeigen sich hier dieselben Muster wie bei der Frage, ob sich die Befragten schon über die Voraussetzungen über den Erwerb der Staatsbürgerschaft in ihrem derzeitigen Aufenthaltsland informiert haben. </w:t>
      </w:r>
    </w:p>
    <w:p w14:paraId="0A461E48" w14:textId="523B6B08" w:rsidR="008737ED" w:rsidRDefault="008737ED" w:rsidP="00423F3B">
      <w:pPr>
        <w:jc w:val="left"/>
        <w:rPr>
          <w:lang w:val="de-DE"/>
        </w:rPr>
      </w:pPr>
      <w:r w:rsidRPr="008737ED">
        <w:rPr>
          <w:highlight w:val="cyan"/>
          <w:lang w:val="de-DE"/>
        </w:rPr>
        <w:t>Q11:</w:t>
      </w:r>
      <w:r>
        <w:rPr>
          <w:lang w:val="de-DE"/>
        </w:rPr>
        <w:t xml:space="preserve"> Die noch spezifischere Frage, ob sich die Befragten schon bei den Behörden erkundigt haben, ob sie bei Annahme einer neuen Staatsbürgerschaft die österre</w:t>
      </w:r>
      <w:r>
        <w:rPr>
          <w:lang w:val="de-DE"/>
        </w:rPr>
        <w:t>i</w:t>
      </w:r>
      <w:r>
        <w:rPr>
          <w:lang w:val="de-DE"/>
        </w:rPr>
        <w:lastRenderedPageBreak/>
        <w:t xml:space="preserve">chische Staatsbürgerschaft beibehalten </w:t>
      </w:r>
      <w:r w:rsidR="00570EF7">
        <w:rPr>
          <w:lang w:val="de-DE"/>
        </w:rPr>
        <w:t>können, bejaht ein Drittel (31</w:t>
      </w:r>
      <w:r>
        <w:rPr>
          <w:lang w:val="de-DE"/>
        </w:rPr>
        <w:t>%) der Befra</w:t>
      </w:r>
      <w:r>
        <w:rPr>
          <w:lang w:val="de-DE"/>
        </w:rPr>
        <w:t>g</w:t>
      </w:r>
      <w:r>
        <w:rPr>
          <w:lang w:val="de-DE"/>
        </w:rPr>
        <w:t xml:space="preserve">ten. </w:t>
      </w:r>
      <w:r w:rsidR="00AC5BEA">
        <w:rPr>
          <w:lang w:val="de-DE"/>
        </w:rPr>
        <w:t xml:space="preserve">Auch hier zeigen sich wieder die gleichen Muster wie bei der Frage, ob sich die Befragten schon über die Voraussetzungen über den Erwerb der Staatsbürgerschaft in ihrem derzeitigen Aufenthaltsland informiert haben. </w:t>
      </w:r>
    </w:p>
    <w:p w14:paraId="3897B9EF" w14:textId="77777777" w:rsidR="0099305A" w:rsidRDefault="0099305A" w:rsidP="00423F3B">
      <w:pPr>
        <w:jc w:val="left"/>
        <w:rPr>
          <w:highlight w:val="cyan"/>
          <w:lang w:val="de-DE"/>
        </w:rPr>
      </w:pPr>
    </w:p>
    <w:p w14:paraId="339E5DF3" w14:textId="20DD797B" w:rsidR="008737ED" w:rsidRDefault="008737ED" w:rsidP="00423F3B">
      <w:pPr>
        <w:jc w:val="left"/>
        <w:rPr>
          <w:lang w:val="de-DE"/>
        </w:rPr>
      </w:pPr>
      <w:r w:rsidRPr="008737ED">
        <w:rPr>
          <w:highlight w:val="cyan"/>
          <w:lang w:val="de-DE"/>
        </w:rPr>
        <w:t>Q12:</w:t>
      </w:r>
      <w:r w:rsidR="00570EF7">
        <w:rPr>
          <w:lang w:val="de-DE"/>
        </w:rPr>
        <w:t xml:space="preserve"> Insgesamt empfinden 83</w:t>
      </w:r>
      <w:r>
        <w:rPr>
          <w:lang w:val="de-DE"/>
        </w:rPr>
        <w:t>% der Befragten das Verfahren zur Erlangung der Doppelstaatsbürgerschaft als kompliziert.</w:t>
      </w:r>
      <w:r w:rsidR="00AC5BEA">
        <w:rPr>
          <w:lang w:val="de-DE"/>
        </w:rPr>
        <w:t xml:space="preserve"> Es zeigt sich, dass die Personen, die sich mehr über Doppelstaatsbürgerschaften informiert haben (siehe die letzten beiden Fragen), das Verfahren auch </w:t>
      </w:r>
      <w:r w:rsidR="00570EF7">
        <w:rPr>
          <w:lang w:val="de-DE"/>
        </w:rPr>
        <w:t>häufiger als kompliziert</w:t>
      </w:r>
      <w:r w:rsidR="00AC5BEA">
        <w:rPr>
          <w:lang w:val="de-DE"/>
        </w:rPr>
        <w:t xml:space="preserve"> empfinden.</w:t>
      </w:r>
    </w:p>
    <w:p w14:paraId="4E491534" w14:textId="23F49032" w:rsidR="008737ED" w:rsidRDefault="008737ED" w:rsidP="00423F3B">
      <w:pPr>
        <w:jc w:val="left"/>
        <w:rPr>
          <w:lang w:val="de-DE"/>
        </w:rPr>
      </w:pPr>
      <w:r w:rsidRPr="001845B8">
        <w:rPr>
          <w:highlight w:val="cyan"/>
          <w:lang w:val="de-DE"/>
        </w:rPr>
        <w:t>Q13:</w:t>
      </w:r>
      <w:r>
        <w:rPr>
          <w:lang w:val="de-DE"/>
        </w:rPr>
        <w:t xml:space="preserve"> Auf die Frage, ob sie der Auslandsösterreicher-Weltbund für eine einfache, g</w:t>
      </w:r>
      <w:r>
        <w:rPr>
          <w:lang w:val="de-DE"/>
        </w:rPr>
        <w:t>e</w:t>
      </w:r>
      <w:r>
        <w:rPr>
          <w:lang w:val="de-DE"/>
        </w:rPr>
        <w:t xml:space="preserve">regelte und gerechte Vorgangsweise einsetzen soll, wenn man um die Beibehaltung der österreichischen Staatsbürgerschaft </w:t>
      </w:r>
      <w:r w:rsidR="00450FBF">
        <w:rPr>
          <w:lang w:val="de-DE"/>
        </w:rPr>
        <w:t>bei Annahme einer fremden Staatsbürge</w:t>
      </w:r>
      <w:r w:rsidR="00450FBF">
        <w:rPr>
          <w:lang w:val="de-DE"/>
        </w:rPr>
        <w:t>r</w:t>
      </w:r>
      <w:r w:rsidR="00570EF7">
        <w:rPr>
          <w:lang w:val="de-DE"/>
        </w:rPr>
        <w:t>schaft ansucht, antworten 88% der Befragten mit „Ja“. 9</w:t>
      </w:r>
      <w:r w:rsidR="00450FBF">
        <w:rPr>
          <w:lang w:val="de-DE"/>
        </w:rPr>
        <w:t>% der Befragten ist es gleich</w:t>
      </w:r>
      <w:r w:rsidR="00570EF7">
        <w:rPr>
          <w:lang w:val="de-DE"/>
        </w:rPr>
        <w:t>gültig, nur 3</w:t>
      </w:r>
      <w:r w:rsidR="00450FBF">
        <w:rPr>
          <w:lang w:val="de-DE"/>
        </w:rPr>
        <w:t xml:space="preserve">% der Befragten lehnen </w:t>
      </w:r>
      <w:r w:rsidR="001845B8">
        <w:rPr>
          <w:lang w:val="de-DE"/>
        </w:rPr>
        <w:t>den Vorschlag</w:t>
      </w:r>
      <w:r w:rsidR="00450FBF">
        <w:rPr>
          <w:lang w:val="de-DE"/>
        </w:rPr>
        <w:t xml:space="preserve"> ab. </w:t>
      </w:r>
      <w:r w:rsidR="00C72F82">
        <w:rPr>
          <w:lang w:val="de-DE"/>
        </w:rPr>
        <w:t>Prinzipiell stößt der Vo</w:t>
      </w:r>
      <w:r w:rsidR="00C72F82">
        <w:rPr>
          <w:lang w:val="de-DE"/>
        </w:rPr>
        <w:t>r</w:t>
      </w:r>
      <w:r w:rsidR="00C72F82">
        <w:rPr>
          <w:lang w:val="de-DE"/>
        </w:rPr>
        <w:t>schlag bei den Personen, die weniger als 20 Jahre im Gastland leben, und vor allem bei den in Nordamerika und Australien-Ozeanien lebenden Personen auf mehr Z</w:t>
      </w:r>
      <w:r w:rsidR="00C72F82">
        <w:rPr>
          <w:lang w:val="de-DE"/>
        </w:rPr>
        <w:t>u</w:t>
      </w:r>
      <w:r w:rsidR="00C72F82">
        <w:rPr>
          <w:lang w:val="de-DE"/>
        </w:rPr>
        <w:t>stimmung. Außerdem ist die Zustimmung höher bei gebildeteren sowie bei jüngeren Personen, zusätzlich sind Frauen eher für die Intervention als Männer.</w:t>
      </w:r>
    </w:p>
    <w:p w14:paraId="2C63E9D9" w14:textId="77777777" w:rsidR="0099305A" w:rsidRDefault="0099305A" w:rsidP="00423F3B">
      <w:pPr>
        <w:jc w:val="left"/>
        <w:rPr>
          <w:lang w:val="de-DE"/>
        </w:rPr>
      </w:pPr>
    </w:p>
    <w:p w14:paraId="087BC8C7" w14:textId="5F22321F" w:rsidR="001E7DA9" w:rsidRDefault="001E7DA9" w:rsidP="00423F3B">
      <w:pPr>
        <w:jc w:val="left"/>
        <w:rPr>
          <w:lang w:val="de-DE"/>
        </w:rPr>
      </w:pPr>
      <w:r w:rsidRPr="001E7DA9">
        <w:rPr>
          <w:highlight w:val="cyan"/>
          <w:lang w:val="de-DE"/>
        </w:rPr>
        <w:t>Q14</w:t>
      </w:r>
      <w:r>
        <w:rPr>
          <w:lang w:val="de-DE"/>
        </w:rPr>
        <w:t xml:space="preserve">: Die sehr spezielle Frage, ob sich die Befragten eine </w:t>
      </w:r>
      <w:r w:rsidRPr="001E7DA9">
        <w:rPr>
          <w:lang w:val="de-DE"/>
        </w:rPr>
        <w:t>erleichterte Wiedererla</w:t>
      </w:r>
      <w:r w:rsidRPr="001E7DA9">
        <w:rPr>
          <w:lang w:val="de-DE"/>
        </w:rPr>
        <w:t>n</w:t>
      </w:r>
      <w:r w:rsidRPr="001E7DA9">
        <w:rPr>
          <w:lang w:val="de-DE"/>
        </w:rPr>
        <w:t>gung der österreichischen Staatsbürgerschaft</w:t>
      </w:r>
      <w:r>
        <w:rPr>
          <w:lang w:val="de-DE"/>
        </w:rPr>
        <w:t xml:space="preserve"> wünschen</w:t>
      </w:r>
      <w:r w:rsidRPr="001E7DA9">
        <w:rPr>
          <w:lang w:val="de-DE"/>
        </w:rPr>
        <w:t>, wenn man die österreich</w:t>
      </w:r>
      <w:r w:rsidRPr="001E7DA9">
        <w:rPr>
          <w:lang w:val="de-DE"/>
        </w:rPr>
        <w:t>i</w:t>
      </w:r>
      <w:r w:rsidRPr="001E7DA9">
        <w:rPr>
          <w:lang w:val="de-DE"/>
        </w:rPr>
        <w:t>sche Staatsbürgerschaft zu einem Zeitpunkt verloren hat</w:t>
      </w:r>
      <w:r>
        <w:rPr>
          <w:lang w:val="de-DE"/>
        </w:rPr>
        <w:t>,</w:t>
      </w:r>
      <w:r w:rsidRPr="001E7DA9">
        <w:rPr>
          <w:lang w:val="de-DE"/>
        </w:rPr>
        <w:t xml:space="preserve"> </w:t>
      </w:r>
      <w:r>
        <w:rPr>
          <w:lang w:val="de-DE"/>
        </w:rPr>
        <w:t xml:space="preserve">als eine </w:t>
      </w:r>
      <w:r w:rsidRPr="001E7DA9">
        <w:rPr>
          <w:lang w:val="de-DE"/>
        </w:rPr>
        <w:t>Beibehaltung noch nicht mög</w:t>
      </w:r>
      <w:r>
        <w:rPr>
          <w:lang w:val="de-DE"/>
        </w:rPr>
        <w:t xml:space="preserve">lich war beantworteten </w:t>
      </w:r>
      <w:r w:rsidR="00570EF7">
        <w:rPr>
          <w:lang w:val="de-DE"/>
        </w:rPr>
        <w:t>zwei Drittel der Befragten (66</w:t>
      </w:r>
      <w:r>
        <w:rPr>
          <w:lang w:val="de-DE"/>
        </w:rPr>
        <w:t>%) als nicht auf ihre Situation zutreffend. Bei den restlichen Befragten ist die Gruppe derer, die die öste</w:t>
      </w:r>
      <w:r>
        <w:rPr>
          <w:lang w:val="de-DE"/>
        </w:rPr>
        <w:t>r</w:t>
      </w:r>
      <w:r>
        <w:rPr>
          <w:lang w:val="de-DE"/>
        </w:rPr>
        <w:t xml:space="preserve">reichische Staatsbürgerschaft auf jeden Fall wieder haben </w:t>
      </w:r>
      <w:r w:rsidR="00570EF7">
        <w:rPr>
          <w:lang w:val="de-DE"/>
        </w:rPr>
        <w:t>wollen (16</w:t>
      </w:r>
      <w:r>
        <w:rPr>
          <w:lang w:val="de-DE"/>
        </w:rPr>
        <w:t>%) und die, die die österreichische Staatsbürgerschaft nur unter der Bedingung, die jetzige Staat</w:t>
      </w:r>
      <w:r>
        <w:rPr>
          <w:lang w:val="de-DE"/>
        </w:rPr>
        <w:t>s</w:t>
      </w:r>
      <w:r>
        <w:rPr>
          <w:lang w:val="de-DE"/>
        </w:rPr>
        <w:t>bürgerschaft nicht zu verlieren</w:t>
      </w:r>
      <w:r w:rsidR="00661886">
        <w:rPr>
          <w:lang w:val="de-DE"/>
        </w:rPr>
        <w:t>,</w:t>
      </w:r>
      <w:r>
        <w:rPr>
          <w:lang w:val="de-DE"/>
        </w:rPr>
        <w:t xml:space="preserve"> wieder haben wollen (18%) etwa gleich groß.</w:t>
      </w:r>
    </w:p>
    <w:p w14:paraId="06F8AC57" w14:textId="77777777" w:rsidR="00A772D0" w:rsidRPr="004A6393" w:rsidRDefault="00A772D0" w:rsidP="00423F3B">
      <w:pPr>
        <w:jc w:val="left"/>
        <w:rPr>
          <w:lang w:val="de-DE"/>
        </w:rPr>
      </w:pPr>
    </w:p>
    <w:p w14:paraId="2B92EAD3" w14:textId="56BA4AE0" w:rsidR="002F5B3E" w:rsidRDefault="002F5B3E" w:rsidP="00423F3B">
      <w:pPr>
        <w:pStyle w:val="berschrift1"/>
        <w:jc w:val="left"/>
        <w:rPr>
          <w:lang w:val="de-DE"/>
        </w:rPr>
      </w:pPr>
      <w:bookmarkStart w:id="0" w:name="_Hlk27394736"/>
      <w:r>
        <w:rPr>
          <w:lang w:val="de-DE"/>
        </w:rPr>
        <w:t>Zusammenfassung</w:t>
      </w:r>
    </w:p>
    <w:p w14:paraId="6EA9566F" w14:textId="06562A6F" w:rsidR="00C91E85" w:rsidRDefault="00F86B99" w:rsidP="00423F3B">
      <w:pPr>
        <w:jc w:val="left"/>
        <w:rPr>
          <w:lang w:val="de-DE"/>
        </w:rPr>
      </w:pPr>
      <w:r>
        <w:rPr>
          <w:lang w:val="de-DE"/>
        </w:rPr>
        <w:t>Die Auswertung der Antworten der Teilnehmerinnen und Teilnehmer der Umfrage hat gezeigt, dass den im Ausland lebenden Österreicherinnen und Österreichern das Thema Staatsbürgerschaft</w:t>
      </w:r>
      <w:r w:rsidR="00C91E85">
        <w:rPr>
          <w:lang w:val="de-DE"/>
        </w:rPr>
        <w:t xml:space="preserve"> sehr</w:t>
      </w:r>
      <w:r>
        <w:rPr>
          <w:lang w:val="de-DE"/>
        </w:rPr>
        <w:t xml:space="preserve"> wichtig ist. Der Großteil der Befragten „hängt“ an der österreichischen Staatsbürgerschaft, nur wenige sind bereit, diese zugunsten der Staatsbürgerschaft des Aufenthaltslandes aufzugeben. Jedoch ist die Bereitschaft zu </w:t>
      </w:r>
      <w:r>
        <w:rPr>
          <w:lang w:val="de-DE"/>
        </w:rPr>
        <w:lastRenderedPageBreak/>
        <w:t>einer Doppelstaatsbürgerschaft hoch</w:t>
      </w:r>
      <w:r w:rsidR="00C91E85">
        <w:rPr>
          <w:lang w:val="de-DE"/>
        </w:rPr>
        <w:t>;</w:t>
      </w:r>
      <w:r>
        <w:rPr>
          <w:lang w:val="de-DE"/>
        </w:rPr>
        <w:t xml:space="preserve"> diese wird auch von der Mehrheit der Befra</w:t>
      </w:r>
      <w:r>
        <w:rPr>
          <w:lang w:val="de-DE"/>
        </w:rPr>
        <w:t>g</w:t>
      </w:r>
      <w:r>
        <w:rPr>
          <w:lang w:val="de-DE"/>
        </w:rPr>
        <w:t xml:space="preserve">ten positiv bewertet. </w:t>
      </w:r>
    </w:p>
    <w:p w14:paraId="67A6635D" w14:textId="77777777" w:rsidR="00C91E85" w:rsidRDefault="00C91E85" w:rsidP="00423F3B">
      <w:pPr>
        <w:jc w:val="left"/>
        <w:rPr>
          <w:lang w:val="de-DE"/>
        </w:rPr>
      </w:pPr>
    </w:p>
    <w:p w14:paraId="74F7C0E3" w14:textId="77777777" w:rsidR="00C91E85" w:rsidRDefault="00F86B99" w:rsidP="00423F3B">
      <w:pPr>
        <w:jc w:val="left"/>
        <w:rPr>
          <w:lang w:val="de-DE"/>
        </w:rPr>
      </w:pPr>
      <w:r>
        <w:rPr>
          <w:lang w:val="de-DE"/>
        </w:rPr>
        <w:t>Bezüglich der Faktoren, die die Meinungen und Einstellungen der Auslandsösterre</w:t>
      </w:r>
      <w:r>
        <w:rPr>
          <w:lang w:val="de-DE"/>
        </w:rPr>
        <w:t>i</w:t>
      </w:r>
      <w:r>
        <w:rPr>
          <w:lang w:val="de-DE"/>
        </w:rPr>
        <w:t>cherinnen und -österreicher beeinflussen, seien insbesondere die Region</w:t>
      </w:r>
      <w:r w:rsidR="00F9331C">
        <w:rPr>
          <w:lang w:val="de-DE"/>
        </w:rPr>
        <w:t>, in der das Gastland liegt und die Dauer des Aufenthalts genannt. In den</w:t>
      </w:r>
      <w:r w:rsidR="00C91E85">
        <w:rPr>
          <w:lang w:val="de-DE"/>
        </w:rPr>
        <w:t xml:space="preserve"> wohlhabenden, „</w:t>
      </w:r>
      <w:r w:rsidR="00F9331C">
        <w:rPr>
          <w:lang w:val="de-DE"/>
        </w:rPr>
        <w:t>westl</w:t>
      </w:r>
      <w:r w:rsidR="00F9331C">
        <w:rPr>
          <w:lang w:val="de-DE"/>
        </w:rPr>
        <w:t>i</w:t>
      </w:r>
      <w:r w:rsidR="00F9331C">
        <w:rPr>
          <w:lang w:val="de-DE"/>
        </w:rPr>
        <w:t>chen</w:t>
      </w:r>
      <w:r w:rsidR="00C91E85">
        <w:rPr>
          <w:lang w:val="de-DE"/>
        </w:rPr>
        <w:t>“</w:t>
      </w:r>
      <w:r w:rsidR="00F9331C">
        <w:rPr>
          <w:lang w:val="de-DE"/>
        </w:rPr>
        <w:t xml:space="preserve"> Regionen Nordamerika und Australien ist das Interesse an der Erlangung der dortigen Staatsbürgerschaft hoch, während es in ärmeren Regionen wie Afrika, Zen</w:t>
      </w:r>
      <w:r w:rsidR="00F9331C">
        <w:rPr>
          <w:lang w:val="de-DE"/>
        </w:rPr>
        <w:t>t</w:t>
      </w:r>
      <w:r w:rsidR="00F9331C">
        <w:rPr>
          <w:lang w:val="de-DE"/>
        </w:rPr>
        <w:t xml:space="preserve">ral- und Südamerika gering ist. Bei der Dauer des Aufenthalts hat sich gezeigt, dass insbesondere die Personen, die sich seit 11 bis 20 Jahren im Gastland aufhalten, ein gesteigertes Interesse an die Staatsbürgerschaft betreffenden Themen besteht. </w:t>
      </w:r>
    </w:p>
    <w:p w14:paraId="75BC7E6B" w14:textId="77777777" w:rsidR="00C91E85" w:rsidRDefault="00C91E85" w:rsidP="00423F3B">
      <w:pPr>
        <w:jc w:val="left"/>
        <w:rPr>
          <w:lang w:val="de-DE"/>
        </w:rPr>
      </w:pPr>
    </w:p>
    <w:p w14:paraId="7F145D92" w14:textId="5B4AC9E7" w:rsidR="00F86B99" w:rsidRDefault="00F9331C" w:rsidP="00423F3B">
      <w:pPr>
        <w:jc w:val="left"/>
        <w:rPr>
          <w:lang w:val="de-DE"/>
        </w:rPr>
      </w:pPr>
      <w:r>
        <w:rPr>
          <w:lang w:val="de-DE"/>
        </w:rPr>
        <w:t>Betrachtet man den soziodemographischen Hintergrund der Befragten, so hat sich besonders das vergleichsweise hohe Interesse der Jüngeren und der Personen mit Hochschulabschluss herauskristallisiert. Das Geschlecht spielte hingegen nur selten eine Rolle. Interessanterweise machte die Tatsache, aus welchem Bundesland die oder der Befragte ursprünglich stammt, in keiner Hinsicht einen Unterschied.</w:t>
      </w:r>
    </w:p>
    <w:p w14:paraId="5F3086A5" w14:textId="77777777" w:rsidR="00C91E85" w:rsidRDefault="00C91E85" w:rsidP="00423F3B">
      <w:pPr>
        <w:jc w:val="left"/>
        <w:rPr>
          <w:lang w:val="de-DE"/>
        </w:rPr>
      </w:pPr>
    </w:p>
    <w:p w14:paraId="1A0E54C4" w14:textId="2F56BC76" w:rsidR="00C91E85" w:rsidRDefault="00A74DE9" w:rsidP="00423F3B">
      <w:pPr>
        <w:jc w:val="left"/>
        <w:rPr>
          <w:lang w:val="de-DE"/>
        </w:rPr>
      </w:pPr>
      <w:r>
        <w:rPr>
          <w:lang w:val="de-DE"/>
        </w:rPr>
        <w:t xml:space="preserve">Zum Abschluss sei darauf hingewiesen, dass mit 2.403 teilnehmenden Personen zwar eine sehr gute Stichprobengröße erreicht wurde, sich aber trotzdem die Frage der </w:t>
      </w:r>
      <w:r w:rsidR="00E722DF">
        <w:rPr>
          <w:lang w:val="de-DE"/>
        </w:rPr>
        <w:t>Repräsentativität</w:t>
      </w:r>
      <w:r>
        <w:rPr>
          <w:lang w:val="de-DE"/>
        </w:rPr>
        <w:t xml:space="preserve"> dieser </w:t>
      </w:r>
      <w:r w:rsidR="00EA0449">
        <w:rPr>
          <w:lang w:val="de-DE"/>
        </w:rPr>
        <w:t xml:space="preserve">Gruppe stellt. Die Mitglieder des Auslandsösterreicher </w:t>
      </w:r>
      <w:r w:rsidR="00C91E85" w:rsidRPr="00570EF7">
        <w:rPr>
          <w:lang w:val="de-DE"/>
        </w:rPr>
        <w:t>W</w:t>
      </w:r>
      <w:r w:rsidR="00EA0449">
        <w:rPr>
          <w:lang w:val="de-DE"/>
        </w:rPr>
        <w:t xml:space="preserve">eltbundes, aus deren Pool die Befragten rekrutiert wurden, </w:t>
      </w:r>
      <w:r w:rsidR="00C91E85">
        <w:rPr>
          <w:lang w:val="de-DE"/>
        </w:rPr>
        <w:t>sind wahrscheinlich deutlich höher gebildet als alle rund 570.000 im Ausland lebenden Österreicherinnen und Österreicher.</w:t>
      </w:r>
      <w:r w:rsidR="00C91E85">
        <w:rPr>
          <w:rStyle w:val="Funotenzeichen"/>
          <w:lang w:val="de-DE"/>
        </w:rPr>
        <w:footnoteReference w:id="4"/>
      </w:r>
    </w:p>
    <w:p w14:paraId="3A398BAB" w14:textId="50D104A8" w:rsidR="00113FB8" w:rsidRDefault="00EA0449" w:rsidP="00423F3B">
      <w:pPr>
        <w:jc w:val="left"/>
        <w:rPr>
          <w:lang w:val="de-DE"/>
        </w:rPr>
      </w:pPr>
      <w:r>
        <w:rPr>
          <w:lang w:val="de-DE"/>
        </w:rPr>
        <w:t>haben vermutlich ein höheres Interesse an österreichischen Themen und somit auch an der österreichischen Staatsbürgerschaft als die restlichen im Ausland lebenden Österreicherinnen und Österreicher. Die Ergebnisse dieser Umfrage können somit relativ problemlos auf die restlichen Mitglieder des AÖWB übertragen werden</w:t>
      </w:r>
      <w:r w:rsidR="00C91E85">
        <w:rPr>
          <w:lang w:val="de-DE"/>
        </w:rPr>
        <w:t>;</w:t>
      </w:r>
      <w:r>
        <w:rPr>
          <w:lang w:val="de-DE"/>
        </w:rPr>
        <w:t xml:space="preserve"> von einer allgemeinen Generalisierung auf alle im Ausland lebenden Österreicherinnen und Österreicher ist jedoch abzuraten.</w:t>
      </w:r>
    </w:p>
    <w:p w14:paraId="5ED858D3" w14:textId="71BAAC17" w:rsidR="00C91E85" w:rsidRDefault="00C91E85" w:rsidP="00423F3B">
      <w:pPr>
        <w:jc w:val="left"/>
        <w:rPr>
          <w:lang w:val="de-DE"/>
        </w:rPr>
      </w:pPr>
      <w:bookmarkStart w:id="1" w:name="_GoBack"/>
      <w:bookmarkEnd w:id="1"/>
    </w:p>
    <w:p w14:paraId="530873E6" w14:textId="77777777" w:rsidR="00661886" w:rsidRDefault="00661886" w:rsidP="00423F3B">
      <w:pPr>
        <w:jc w:val="left"/>
        <w:rPr>
          <w:lang w:val="de-DE"/>
        </w:rPr>
      </w:pPr>
    </w:p>
    <w:p w14:paraId="7286E803" w14:textId="3C7FA5DD" w:rsidR="00A97B88" w:rsidRDefault="00A97B88" w:rsidP="00423F3B">
      <w:pPr>
        <w:pStyle w:val="berschrift1"/>
        <w:jc w:val="left"/>
        <w:rPr>
          <w:lang w:val="de-DE"/>
        </w:rPr>
      </w:pPr>
      <w:r>
        <w:rPr>
          <w:lang w:val="de-DE"/>
        </w:rPr>
        <w:lastRenderedPageBreak/>
        <w:t>Literaturverzeichnis</w:t>
      </w:r>
    </w:p>
    <w:p w14:paraId="70D44BF6" w14:textId="1B73189A" w:rsidR="00A97B88" w:rsidRDefault="00A97B88" w:rsidP="00423F3B">
      <w:pPr>
        <w:pStyle w:val="berschrift2"/>
        <w:jc w:val="left"/>
        <w:rPr>
          <w:lang w:val="de-DE"/>
        </w:rPr>
      </w:pPr>
      <w:r>
        <w:rPr>
          <w:lang w:val="de-DE"/>
        </w:rPr>
        <w:t>Online-Referenzen</w:t>
      </w:r>
    </w:p>
    <w:p w14:paraId="6AEAAB8C" w14:textId="77777777" w:rsidR="00570EF7" w:rsidRPr="00570EF7" w:rsidRDefault="00570EF7" w:rsidP="00570EF7">
      <w:pPr>
        <w:rPr>
          <w:lang w:val="de-DE"/>
        </w:rPr>
      </w:pPr>
    </w:p>
    <w:p w14:paraId="3DE9C426" w14:textId="67DC4CFD" w:rsidR="00570EF7" w:rsidRDefault="00570EF7" w:rsidP="00570EF7">
      <w:pPr>
        <w:jc w:val="left"/>
      </w:pPr>
      <w:r w:rsidRPr="00570EF7">
        <w:t>statistik.at</w:t>
      </w:r>
      <w:r>
        <w:t xml:space="preserve"> (2019):</w:t>
      </w:r>
      <w:r w:rsidRPr="00570EF7">
        <w:t>Auslandsösterreicherinnen und Auslandsösterreicher 2019. Online abrufbar unter</w:t>
      </w:r>
      <w:r>
        <w:rPr>
          <w:lang w:val="de-DE"/>
        </w:rPr>
        <w:t xml:space="preserve"> </w:t>
      </w:r>
      <w:hyperlink r:id="rId15" w:history="1">
        <w:r w:rsidRPr="00570EF7">
          <w:rPr>
            <w:rStyle w:val="Hyperlink"/>
          </w:rPr>
          <w:t>http://www.statistik.at/web_de/statistiken/menschen_und_gesellschaft/bevoelkerung/internationale_uebersich/036450.html</w:t>
        </w:r>
      </w:hyperlink>
      <w:r w:rsidRPr="00570EF7">
        <w:t xml:space="preserve"> (zuletzt aufgerufen am 14.10.2019)</w:t>
      </w:r>
    </w:p>
    <w:p w14:paraId="0982685F" w14:textId="77777777" w:rsidR="00570EF7" w:rsidRPr="00570EF7" w:rsidRDefault="00570EF7" w:rsidP="00570EF7">
      <w:pPr>
        <w:jc w:val="left"/>
      </w:pPr>
    </w:p>
    <w:p w14:paraId="4E68EDCF" w14:textId="4FB61ACB" w:rsidR="00A97B88" w:rsidRPr="00EA0449" w:rsidRDefault="00570EF7" w:rsidP="00423F3B">
      <w:pPr>
        <w:jc w:val="left"/>
      </w:pPr>
      <w:r>
        <w:rPr>
          <w:lang w:val="de-DE"/>
        </w:rPr>
        <w:t>w</w:t>
      </w:r>
      <w:r w:rsidR="00A97B88">
        <w:rPr>
          <w:lang w:val="de-DE"/>
        </w:rPr>
        <w:t xml:space="preserve">eltbund.at (2019): Informationen – Häufige Fragen. Online abrufbar unter </w:t>
      </w:r>
      <w:hyperlink r:id="rId16" w:history="1">
        <w:r w:rsidR="00A97B88">
          <w:rPr>
            <w:rStyle w:val="Hyperlink"/>
          </w:rPr>
          <w:t>https://www.weltbund.at/information/haeufige-fragen-faq/</w:t>
        </w:r>
      </w:hyperlink>
      <w:r w:rsidR="00A97B88">
        <w:t xml:space="preserve"> (zuletzt aufgerufen am 10.12.2019)</w:t>
      </w:r>
      <w:bookmarkEnd w:id="0"/>
    </w:p>
    <w:sectPr w:rsidR="00A97B88" w:rsidRPr="00EA0449" w:rsidSect="003962BE">
      <w:footerReference w:type="default" r:id="rId17"/>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20E51" w14:textId="77777777" w:rsidR="00570EF7" w:rsidRDefault="00570EF7">
      <w:r>
        <w:separator/>
      </w:r>
    </w:p>
  </w:endnote>
  <w:endnote w:type="continuationSeparator" w:id="0">
    <w:p w14:paraId="3168722C" w14:textId="77777777" w:rsidR="00570EF7" w:rsidRDefault="0057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374102"/>
      <w:docPartObj>
        <w:docPartGallery w:val="Page Numbers (Bottom of Page)"/>
        <w:docPartUnique/>
      </w:docPartObj>
    </w:sdtPr>
    <w:sdtEndPr/>
    <w:sdtContent>
      <w:p w14:paraId="38D6C979" w14:textId="77777777" w:rsidR="00570EF7" w:rsidRPr="00735184" w:rsidRDefault="00570EF7" w:rsidP="0086048B">
        <w:pPr>
          <w:pStyle w:val="Fuzeile"/>
          <w:jc w:val="center"/>
        </w:pPr>
        <w:r>
          <w:fldChar w:fldCharType="begin"/>
        </w:r>
        <w:r>
          <w:instrText>PAGE   \* MERGEFORMAT</w:instrText>
        </w:r>
        <w:r>
          <w:fldChar w:fldCharType="separate"/>
        </w:r>
        <w:r w:rsidR="006A7D81" w:rsidRPr="006A7D81">
          <w:rPr>
            <w:noProof/>
            <w:lang w:val="de-DE"/>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D7AB3" w14:textId="77777777" w:rsidR="00570EF7" w:rsidRDefault="00570EF7" w:rsidP="00CD3699">
      <w:pPr>
        <w:spacing w:line="240" w:lineRule="auto"/>
      </w:pPr>
      <w:r>
        <w:separator/>
      </w:r>
    </w:p>
  </w:footnote>
  <w:footnote w:type="continuationSeparator" w:id="0">
    <w:p w14:paraId="6A41E021" w14:textId="77777777" w:rsidR="00570EF7" w:rsidRDefault="00570EF7">
      <w:r>
        <w:continuationSeparator/>
      </w:r>
    </w:p>
  </w:footnote>
  <w:footnote w:id="1">
    <w:p w14:paraId="76578BC4" w14:textId="564E905B" w:rsidR="00570EF7" w:rsidRPr="00DA60A4" w:rsidRDefault="00570EF7" w:rsidP="006A7792">
      <w:pPr>
        <w:pStyle w:val="Funotentext"/>
        <w:ind w:left="0" w:firstLine="0"/>
        <w:jc w:val="left"/>
      </w:pPr>
      <w:r>
        <w:rPr>
          <w:rStyle w:val="Funotenzeichen"/>
        </w:rPr>
        <w:footnoteRef/>
      </w:r>
      <w:r w:rsidRPr="00570EF7">
        <w:rPr>
          <w:lang w:val="fr-FR"/>
        </w:rPr>
        <w:t xml:space="preserve"> Quelle: </w:t>
      </w:r>
      <w:hyperlink r:id="rId1" w:history="1">
        <w:r w:rsidRPr="00570EF7">
          <w:rPr>
            <w:rStyle w:val="Hyperlink"/>
            <w:sz w:val="22"/>
            <w:szCs w:val="22"/>
            <w:lang w:val="fr-FR"/>
          </w:rPr>
          <w:t>http://www.statistik.at/web_de/statistiken/menschen_und_gesellschaft/bevoelkerung/internationale_uebersich/036450.html</w:t>
        </w:r>
      </w:hyperlink>
      <w:r w:rsidRPr="00570EF7">
        <w:rPr>
          <w:sz w:val="22"/>
          <w:szCs w:val="22"/>
          <w:lang w:val="fr-FR"/>
        </w:rPr>
        <w:t xml:space="preserve">  (14.10.2019). </w:t>
      </w:r>
      <w:r w:rsidRPr="00C91E85">
        <w:rPr>
          <w:sz w:val="22"/>
          <w:szCs w:val="22"/>
        </w:rPr>
        <w:t xml:space="preserve">Vgl. auch weltbund.at 2019: Häufige Fragen, </w:t>
      </w:r>
      <w:r w:rsidRPr="00C91E85">
        <w:rPr>
          <w:sz w:val="22"/>
          <w:szCs w:val="22"/>
          <w:lang w:val="de-DE"/>
        </w:rPr>
        <w:t xml:space="preserve">Online abrufbar unter </w:t>
      </w:r>
      <w:hyperlink r:id="rId2" w:history="1">
        <w:r w:rsidRPr="00C91E85">
          <w:rPr>
            <w:rStyle w:val="Hyperlink"/>
            <w:sz w:val="22"/>
            <w:szCs w:val="22"/>
          </w:rPr>
          <w:t>https://www.weltbund.at/information/haeufige-fragen-faq/</w:t>
        </w:r>
      </w:hyperlink>
      <w:r w:rsidRPr="00C91E85">
        <w:rPr>
          <w:sz w:val="22"/>
          <w:szCs w:val="22"/>
        </w:rPr>
        <w:t xml:space="preserve"> (zuletzt au</w:t>
      </w:r>
      <w:r w:rsidRPr="00C91E85">
        <w:rPr>
          <w:sz w:val="22"/>
          <w:szCs w:val="22"/>
        </w:rPr>
        <w:t>f</w:t>
      </w:r>
      <w:r w:rsidRPr="00C91E85">
        <w:rPr>
          <w:sz w:val="22"/>
          <w:szCs w:val="22"/>
        </w:rPr>
        <w:t>gerufen am 10.12.2019)</w:t>
      </w:r>
    </w:p>
  </w:footnote>
  <w:footnote w:id="2">
    <w:p w14:paraId="74071BF4" w14:textId="4EBC5C2A" w:rsidR="00570EF7" w:rsidRDefault="00570EF7">
      <w:pPr>
        <w:pStyle w:val="Funotentext"/>
      </w:pPr>
      <w:r>
        <w:rPr>
          <w:rStyle w:val="Funotenzeichen"/>
        </w:rPr>
        <w:footnoteRef/>
      </w:r>
      <w:r>
        <w:t xml:space="preserve"> </w:t>
      </w:r>
      <w:r w:rsidRPr="00CC5466">
        <w:t>Da Stichprobenergebnisse im Vergleich zu den wahren ‚Werten in der Grundgesamtheit immer eine Schwankungsbreite von einigen Prozentpunkten aufweisen, geben wir bei Prozentangaben keine Werte hinter dem Komma an, da dies nur eine Scheingenauigkeit sein würde.</w:t>
      </w:r>
    </w:p>
  </w:footnote>
  <w:footnote w:id="3">
    <w:p w14:paraId="5EAFAA02" w14:textId="036CCC40" w:rsidR="00570EF7" w:rsidRPr="00975C10" w:rsidRDefault="00570EF7" w:rsidP="00975C10">
      <w:pPr>
        <w:pStyle w:val="Funotentext"/>
        <w:rPr>
          <w:lang w:val="de-DE"/>
        </w:rPr>
      </w:pPr>
      <w:r>
        <w:rPr>
          <w:rStyle w:val="Funotenzeichen"/>
        </w:rPr>
        <w:footnoteRef/>
      </w:r>
      <w:r>
        <w:t xml:space="preserve"> </w:t>
      </w:r>
      <w:r>
        <w:rPr>
          <w:lang w:val="de-DE"/>
        </w:rPr>
        <w:t>„</w:t>
      </w:r>
      <w:r w:rsidRPr="00975C10">
        <w:rPr>
          <w:i/>
          <w:lang w:val="de-DE"/>
        </w:rPr>
        <w:t>Signifikant</w:t>
      </w:r>
      <w:r>
        <w:rPr>
          <w:lang w:val="de-DE"/>
        </w:rPr>
        <w:t>“ bedeutet, dass ein Ergebnis aus der Stichprobe (zum Beispiel ein Unterschied zwischen verschiedenen Altersgruppen) mit einer Wahrscheinlichkeit von zumindest 95% (alpha-Fehler=5%) auf die Gesamtpopulation, in diesem Fall die im Ausland lebenden Österreicherinnen und Österre</w:t>
      </w:r>
      <w:r>
        <w:rPr>
          <w:lang w:val="de-DE"/>
        </w:rPr>
        <w:t>i</w:t>
      </w:r>
      <w:r>
        <w:rPr>
          <w:lang w:val="de-DE"/>
        </w:rPr>
        <w:t>cher, zutrifft. „</w:t>
      </w:r>
      <w:r w:rsidRPr="00975C10">
        <w:rPr>
          <w:i/>
          <w:lang w:val="de-DE"/>
        </w:rPr>
        <w:t>Hochsignifikant</w:t>
      </w:r>
      <w:r>
        <w:rPr>
          <w:lang w:val="de-DE"/>
        </w:rPr>
        <w:t>“ bedeutet, dass die Wahrscheinlichkeit zumindest 99% beträgt (alpha-Fehler=1%).</w:t>
      </w:r>
    </w:p>
  </w:footnote>
  <w:footnote w:id="4">
    <w:p w14:paraId="2D88BFF4" w14:textId="6010072C" w:rsidR="00570EF7" w:rsidRDefault="00570EF7">
      <w:pPr>
        <w:pStyle w:val="Funotentext"/>
      </w:pPr>
      <w:r>
        <w:rPr>
          <w:rStyle w:val="Funotenzeichen"/>
        </w:rPr>
        <w:footnoteRef/>
      </w:r>
      <w:r>
        <w:t xml:space="preserve"> Daten dazu sind leider nicht verfügbar. Der obige Schluss legt sich auch deshalb nahe, weil nahezu die Hälfte der Auslandsösterreicher in Deutschland leben; dorthin sind aber schon seit den 1960er auch viele Arbeiterinnen und Arbeiter ausgewandert.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DE6F46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D2EAEC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E8E25E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D76E215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7867C18"/>
    <w:lvl w:ilvl="0">
      <w:start w:val="1"/>
      <w:numFmt w:val="decimal"/>
      <w:pStyle w:val="Listennummer"/>
      <w:lvlText w:val="%1."/>
      <w:lvlJc w:val="left"/>
      <w:pPr>
        <w:tabs>
          <w:tab w:val="num" w:pos="360"/>
        </w:tabs>
        <w:ind w:left="360" w:hanging="360"/>
      </w:pPr>
    </w:lvl>
  </w:abstractNum>
  <w:abstractNum w:abstractNumId="5">
    <w:nsid w:val="FFFFFF89"/>
    <w:multiLevelType w:val="singleLevel"/>
    <w:tmpl w:val="53401DB4"/>
    <w:lvl w:ilvl="0">
      <w:start w:val="1"/>
      <w:numFmt w:val="bullet"/>
      <w:lvlText w:val=""/>
      <w:lvlJc w:val="left"/>
      <w:pPr>
        <w:tabs>
          <w:tab w:val="num" w:pos="360"/>
        </w:tabs>
        <w:ind w:left="360" w:hanging="360"/>
      </w:pPr>
      <w:rPr>
        <w:rFonts w:ascii="Symbol" w:hAnsi="Symbol" w:hint="default"/>
      </w:rPr>
    </w:lvl>
  </w:abstractNum>
  <w:abstractNum w:abstractNumId="6">
    <w:nsid w:val="006E2394"/>
    <w:multiLevelType w:val="hybridMultilevel"/>
    <w:tmpl w:val="210E5C3A"/>
    <w:lvl w:ilvl="0" w:tplc="4442E5E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5140746"/>
    <w:multiLevelType w:val="hybridMultilevel"/>
    <w:tmpl w:val="542EEAE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0C3751DF"/>
    <w:multiLevelType w:val="hybridMultilevel"/>
    <w:tmpl w:val="283847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1C326F4"/>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7914FA4"/>
    <w:multiLevelType w:val="multilevel"/>
    <w:tmpl w:val="2E062AC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8C32B27"/>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F124B6"/>
    <w:multiLevelType w:val="hybridMultilevel"/>
    <w:tmpl w:val="477A9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0701142"/>
    <w:multiLevelType w:val="multilevel"/>
    <w:tmpl w:val="2E062AC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F550B3F"/>
    <w:multiLevelType w:val="multilevel"/>
    <w:tmpl w:val="600E8FE6"/>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4EE5574"/>
    <w:multiLevelType w:val="multilevel"/>
    <w:tmpl w:val="4AF03FC6"/>
    <w:lvl w:ilvl="0">
      <w:start w:val="1"/>
      <w:numFmt w:val="bullet"/>
      <w:lvlText w:val=""/>
      <w:lvlJc w:val="left"/>
      <w:pPr>
        <w:tabs>
          <w:tab w:val="num" w:pos="646"/>
        </w:tabs>
        <w:ind w:left="646" w:hanging="362"/>
      </w:pPr>
      <w:rPr>
        <w:rFonts w:ascii="Symbol" w:hAnsi="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A0B7E9D"/>
    <w:multiLevelType w:val="hybridMultilevel"/>
    <w:tmpl w:val="D2BE5EBE"/>
    <w:lvl w:ilvl="0" w:tplc="4442E5E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12B5833"/>
    <w:multiLevelType w:val="hybridMultilevel"/>
    <w:tmpl w:val="DA5A61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24F2301"/>
    <w:multiLevelType w:val="hybridMultilevel"/>
    <w:tmpl w:val="9484208C"/>
    <w:lvl w:ilvl="0" w:tplc="4442E5E0">
      <w:start w:val="1"/>
      <w:numFmt w:val="bullet"/>
      <w:lvlText w:val=""/>
      <w:lvlJc w:val="left"/>
      <w:pPr>
        <w:tabs>
          <w:tab w:val="num" w:pos="646"/>
        </w:tabs>
        <w:ind w:left="646" w:hanging="362"/>
      </w:pPr>
      <w:rPr>
        <w:rFonts w:ascii="Symbol" w:hAnsi="Symbol" w:hint="default"/>
        <w:color w:val="auto"/>
      </w:rPr>
    </w:lvl>
    <w:lvl w:ilvl="1" w:tplc="8FE85822">
      <w:start w:val="1"/>
      <w:numFmt w:val="decimal"/>
      <w:lvlText w:val="%2."/>
      <w:lvlJc w:val="left"/>
      <w:pPr>
        <w:tabs>
          <w:tab w:val="num" w:pos="646"/>
        </w:tabs>
        <w:ind w:left="646" w:hanging="362"/>
      </w:pPr>
      <w:rPr>
        <w:rFonts w:hint="default"/>
        <w:color w:val="auto"/>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42F03AA8"/>
    <w:multiLevelType w:val="hybridMultilevel"/>
    <w:tmpl w:val="FE64D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3ED223E"/>
    <w:multiLevelType w:val="hybridMultilevel"/>
    <w:tmpl w:val="2B384BD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495B61AC"/>
    <w:multiLevelType w:val="multilevel"/>
    <w:tmpl w:val="236E81CC"/>
    <w:lvl w:ilvl="0">
      <w:start w:val="1"/>
      <w:numFmt w:val="ordin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AB82CF0"/>
    <w:multiLevelType w:val="hybridMultilevel"/>
    <w:tmpl w:val="4746CB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51E7612A"/>
    <w:multiLevelType w:val="hybridMultilevel"/>
    <w:tmpl w:val="9D180C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40B610B"/>
    <w:multiLevelType w:val="hybridMultilevel"/>
    <w:tmpl w:val="5F361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6FB2394"/>
    <w:multiLevelType w:val="hybridMultilevel"/>
    <w:tmpl w:val="63BEDFA8"/>
    <w:lvl w:ilvl="0" w:tplc="0C070001">
      <w:start w:val="2"/>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5D39208D"/>
    <w:multiLevelType w:val="hybridMultilevel"/>
    <w:tmpl w:val="F2AE8C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649C0437"/>
    <w:multiLevelType w:val="hybridMultilevel"/>
    <w:tmpl w:val="DB747A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69291593"/>
    <w:multiLevelType w:val="hybridMultilevel"/>
    <w:tmpl w:val="35A08D98"/>
    <w:lvl w:ilvl="0" w:tplc="0C070001">
      <w:start w:val="2"/>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6DA81F91"/>
    <w:multiLevelType w:val="hybridMultilevel"/>
    <w:tmpl w:val="56602E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6F6C5E1D"/>
    <w:multiLevelType w:val="multilevel"/>
    <w:tmpl w:val="2B8AD74E"/>
    <w:lvl w:ilvl="0">
      <w:start w:val="1"/>
      <w:numFmt w:val="decimal"/>
      <w:pStyle w:val="berschrift1"/>
      <w:lvlText w:val="%1"/>
      <w:lvlJc w:val="left"/>
      <w:pPr>
        <w:tabs>
          <w:tab w:val="num" w:pos="9505"/>
        </w:tabs>
        <w:ind w:left="9505"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1">
    <w:nsid w:val="77A96DF5"/>
    <w:multiLevelType w:val="hybridMultilevel"/>
    <w:tmpl w:val="2E062AC8"/>
    <w:lvl w:ilvl="0" w:tplc="307EC756">
      <w:start w:val="1"/>
      <w:numFmt w:val="bullet"/>
      <w:lvlText w:val=""/>
      <w:lvlJc w:val="left"/>
      <w:pPr>
        <w:tabs>
          <w:tab w:val="num" w:pos="397"/>
        </w:tabs>
        <w:ind w:left="397" w:hanging="397"/>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7C953AD6"/>
    <w:multiLevelType w:val="hybridMultilevel"/>
    <w:tmpl w:val="EBB080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7D945DB9"/>
    <w:multiLevelType w:val="hybridMultilevel"/>
    <w:tmpl w:val="798A26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11"/>
  </w:num>
  <w:num w:numId="4">
    <w:abstractNumId w:val="9"/>
  </w:num>
  <w:num w:numId="5">
    <w:abstractNumId w:val="5"/>
  </w:num>
  <w:num w:numId="6">
    <w:abstractNumId w:val="4"/>
  </w:num>
  <w:num w:numId="7">
    <w:abstractNumId w:val="31"/>
  </w:num>
  <w:num w:numId="8">
    <w:abstractNumId w:val="10"/>
  </w:num>
  <w:num w:numId="9">
    <w:abstractNumId w:val="13"/>
  </w:num>
  <w:num w:numId="10">
    <w:abstractNumId w:val="18"/>
  </w:num>
  <w:num w:numId="11">
    <w:abstractNumId w:val="15"/>
  </w:num>
  <w:num w:numId="12">
    <w:abstractNumId w:val="3"/>
  </w:num>
  <w:num w:numId="13">
    <w:abstractNumId w:val="2"/>
  </w:num>
  <w:num w:numId="14">
    <w:abstractNumId w:val="1"/>
  </w:num>
  <w:num w:numId="15">
    <w:abstractNumId w:val="0"/>
  </w:num>
  <w:num w:numId="16">
    <w:abstractNumId w:val="16"/>
  </w:num>
  <w:num w:numId="17">
    <w:abstractNumId w:val="6"/>
  </w:num>
  <w:num w:numId="18">
    <w:abstractNumId w:val="17"/>
  </w:num>
  <w:num w:numId="19">
    <w:abstractNumId w:val="27"/>
  </w:num>
  <w:num w:numId="20">
    <w:abstractNumId w:val="30"/>
  </w:num>
  <w:num w:numId="21">
    <w:abstractNumId w:val="14"/>
  </w:num>
  <w:num w:numId="22">
    <w:abstractNumId w:val="22"/>
  </w:num>
  <w:num w:numId="23">
    <w:abstractNumId w:val="23"/>
  </w:num>
  <w:num w:numId="24">
    <w:abstractNumId w:val="8"/>
  </w:num>
  <w:num w:numId="25">
    <w:abstractNumId w:val="30"/>
  </w:num>
  <w:num w:numId="26">
    <w:abstractNumId w:val="30"/>
  </w:num>
  <w:num w:numId="27">
    <w:abstractNumId w:val="30"/>
  </w:num>
  <w:num w:numId="28">
    <w:abstractNumId w:val="30"/>
  </w:num>
  <w:num w:numId="29">
    <w:abstractNumId w:val="30"/>
  </w:num>
  <w:num w:numId="30">
    <w:abstractNumId w:val="30"/>
  </w:num>
  <w:num w:numId="31">
    <w:abstractNumId w:val="19"/>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0"/>
  </w:num>
  <w:num w:numId="35">
    <w:abstractNumId w:val="24"/>
  </w:num>
  <w:num w:numId="36">
    <w:abstractNumId w:val="26"/>
  </w:num>
  <w:num w:numId="37">
    <w:abstractNumId w:val="33"/>
  </w:num>
  <w:num w:numId="38">
    <w:abstractNumId w:val="7"/>
  </w:num>
  <w:num w:numId="39">
    <w:abstractNumId w:val="32"/>
  </w:num>
  <w:num w:numId="40">
    <w:abstractNumId w:val="12"/>
  </w:num>
  <w:num w:numId="41">
    <w:abstractNumId w:val="30"/>
  </w:num>
  <w:num w:numId="42">
    <w:abstractNumId w:val="2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AT"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4B"/>
    <w:rsid w:val="000002C6"/>
    <w:rsid w:val="000014E6"/>
    <w:rsid w:val="00001C16"/>
    <w:rsid w:val="00002157"/>
    <w:rsid w:val="000034A7"/>
    <w:rsid w:val="00003738"/>
    <w:rsid w:val="00003EAC"/>
    <w:rsid w:val="0000435D"/>
    <w:rsid w:val="00005158"/>
    <w:rsid w:val="0000537B"/>
    <w:rsid w:val="00007694"/>
    <w:rsid w:val="00011AE2"/>
    <w:rsid w:val="00011DBE"/>
    <w:rsid w:val="0001221B"/>
    <w:rsid w:val="00014C41"/>
    <w:rsid w:val="00016B4C"/>
    <w:rsid w:val="00016EA0"/>
    <w:rsid w:val="00020A90"/>
    <w:rsid w:val="00020AF4"/>
    <w:rsid w:val="00021736"/>
    <w:rsid w:val="000223F8"/>
    <w:rsid w:val="000228F5"/>
    <w:rsid w:val="0002442D"/>
    <w:rsid w:val="000249B8"/>
    <w:rsid w:val="00025ED3"/>
    <w:rsid w:val="00031154"/>
    <w:rsid w:val="000314E8"/>
    <w:rsid w:val="000315D6"/>
    <w:rsid w:val="00033CAF"/>
    <w:rsid w:val="00034009"/>
    <w:rsid w:val="00034169"/>
    <w:rsid w:val="00035B3A"/>
    <w:rsid w:val="00036077"/>
    <w:rsid w:val="000365ED"/>
    <w:rsid w:val="00037A29"/>
    <w:rsid w:val="00041E4A"/>
    <w:rsid w:val="00044D1B"/>
    <w:rsid w:val="000464FF"/>
    <w:rsid w:val="0004741B"/>
    <w:rsid w:val="00050015"/>
    <w:rsid w:val="00050A0F"/>
    <w:rsid w:val="000526C6"/>
    <w:rsid w:val="0005270E"/>
    <w:rsid w:val="000538FC"/>
    <w:rsid w:val="00053E21"/>
    <w:rsid w:val="0005479F"/>
    <w:rsid w:val="00055C39"/>
    <w:rsid w:val="00056E46"/>
    <w:rsid w:val="00057463"/>
    <w:rsid w:val="00057A79"/>
    <w:rsid w:val="00057EF5"/>
    <w:rsid w:val="0006008E"/>
    <w:rsid w:val="0006036C"/>
    <w:rsid w:val="00061E17"/>
    <w:rsid w:val="000622DC"/>
    <w:rsid w:val="00062677"/>
    <w:rsid w:val="000630B4"/>
    <w:rsid w:val="000632BC"/>
    <w:rsid w:val="00063B9B"/>
    <w:rsid w:val="0006495F"/>
    <w:rsid w:val="00065495"/>
    <w:rsid w:val="00065F52"/>
    <w:rsid w:val="00067024"/>
    <w:rsid w:val="00071403"/>
    <w:rsid w:val="00071B95"/>
    <w:rsid w:val="00071C5C"/>
    <w:rsid w:val="00071F68"/>
    <w:rsid w:val="00072136"/>
    <w:rsid w:val="00073039"/>
    <w:rsid w:val="00073496"/>
    <w:rsid w:val="00073A35"/>
    <w:rsid w:val="00075D59"/>
    <w:rsid w:val="000766D3"/>
    <w:rsid w:val="00076ACE"/>
    <w:rsid w:val="00077BE5"/>
    <w:rsid w:val="00080084"/>
    <w:rsid w:val="000809AE"/>
    <w:rsid w:val="00080C02"/>
    <w:rsid w:val="00083DF2"/>
    <w:rsid w:val="00084426"/>
    <w:rsid w:val="0008550B"/>
    <w:rsid w:val="0008623B"/>
    <w:rsid w:val="0008637B"/>
    <w:rsid w:val="0008696B"/>
    <w:rsid w:val="00086A0C"/>
    <w:rsid w:val="000905D0"/>
    <w:rsid w:val="00090873"/>
    <w:rsid w:val="00091040"/>
    <w:rsid w:val="0009224B"/>
    <w:rsid w:val="0009290C"/>
    <w:rsid w:val="000938EF"/>
    <w:rsid w:val="000977A8"/>
    <w:rsid w:val="00097A72"/>
    <w:rsid w:val="00097D7C"/>
    <w:rsid w:val="000A188C"/>
    <w:rsid w:val="000A2080"/>
    <w:rsid w:val="000A28F4"/>
    <w:rsid w:val="000A2917"/>
    <w:rsid w:val="000A34F9"/>
    <w:rsid w:val="000A3CBE"/>
    <w:rsid w:val="000A4CB1"/>
    <w:rsid w:val="000A4CE1"/>
    <w:rsid w:val="000A5385"/>
    <w:rsid w:val="000A59D3"/>
    <w:rsid w:val="000A5FC2"/>
    <w:rsid w:val="000A6EEB"/>
    <w:rsid w:val="000A79B9"/>
    <w:rsid w:val="000B026E"/>
    <w:rsid w:val="000B0708"/>
    <w:rsid w:val="000B0B90"/>
    <w:rsid w:val="000B14E6"/>
    <w:rsid w:val="000B1A69"/>
    <w:rsid w:val="000B34A6"/>
    <w:rsid w:val="000B4160"/>
    <w:rsid w:val="000B4830"/>
    <w:rsid w:val="000B70C1"/>
    <w:rsid w:val="000B72AC"/>
    <w:rsid w:val="000B7B71"/>
    <w:rsid w:val="000C2918"/>
    <w:rsid w:val="000C3579"/>
    <w:rsid w:val="000C3C66"/>
    <w:rsid w:val="000C4A56"/>
    <w:rsid w:val="000C4BC3"/>
    <w:rsid w:val="000C4CE6"/>
    <w:rsid w:val="000C50F4"/>
    <w:rsid w:val="000C6590"/>
    <w:rsid w:val="000C6789"/>
    <w:rsid w:val="000D1156"/>
    <w:rsid w:val="000D13AD"/>
    <w:rsid w:val="000D1FF3"/>
    <w:rsid w:val="000D2002"/>
    <w:rsid w:val="000D36B6"/>
    <w:rsid w:val="000D3C1B"/>
    <w:rsid w:val="000D408B"/>
    <w:rsid w:val="000D4243"/>
    <w:rsid w:val="000D49B3"/>
    <w:rsid w:val="000D5145"/>
    <w:rsid w:val="000D5329"/>
    <w:rsid w:val="000D5B2A"/>
    <w:rsid w:val="000E004D"/>
    <w:rsid w:val="000E1813"/>
    <w:rsid w:val="000E479F"/>
    <w:rsid w:val="000E54E1"/>
    <w:rsid w:val="000E5ACE"/>
    <w:rsid w:val="000E5E6D"/>
    <w:rsid w:val="000E75C6"/>
    <w:rsid w:val="000E7D63"/>
    <w:rsid w:val="000F1A5B"/>
    <w:rsid w:val="000F2D0B"/>
    <w:rsid w:val="000F43B5"/>
    <w:rsid w:val="000F6084"/>
    <w:rsid w:val="000F6422"/>
    <w:rsid w:val="0010080A"/>
    <w:rsid w:val="0010327A"/>
    <w:rsid w:val="0010357C"/>
    <w:rsid w:val="00103650"/>
    <w:rsid w:val="001051D2"/>
    <w:rsid w:val="00106995"/>
    <w:rsid w:val="001116F2"/>
    <w:rsid w:val="001117EB"/>
    <w:rsid w:val="00111FC6"/>
    <w:rsid w:val="0011225F"/>
    <w:rsid w:val="00112273"/>
    <w:rsid w:val="00113C12"/>
    <w:rsid w:val="00113F07"/>
    <w:rsid w:val="00113FB8"/>
    <w:rsid w:val="0011423F"/>
    <w:rsid w:val="00114776"/>
    <w:rsid w:val="00114A7B"/>
    <w:rsid w:val="00115E1E"/>
    <w:rsid w:val="001161C0"/>
    <w:rsid w:val="00116FEB"/>
    <w:rsid w:val="00117216"/>
    <w:rsid w:val="001177F8"/>
    <w:rsid w:val="00122148"/>
    <w:rsid w:val="00122BBD"/>
    <w:rsid w:val="00124C7D"/>
    <w:rsid w:val="001257B4"/>
    <w:rsid w:val="00126B76"/>
    <w:rsid w:val="00127622"/>
    <w:rsid w:val="001276EF"/>
    <w:rsid w:val="001316BA"/>
    <w:rsid w:val="001345D6"/>
    <w:rsid w:val="00135D7E"/>
    <w:rsid w:val="001360FD"/>
    <w:rsid w:val="00136849"/>
    <w:rsid w:val="0013694D"/>
    <w:rsid w:val="001369D4"/>
    <w:rsid w:val="00140EAC"/>
    <w:rsid w:val="00141A66"/>
    <w:rsid w:val="00141D05"/>
    <w:rsid w:val="00142B5C"/>
    <w:rsid w:val="00144478"/>
    <w:rsid w:val="001455CA"/>
    <w:rsid w:val="00145DDF"/>
    <w:rsid w:val="00145EF3"/>
    <w:rsid w:val="0014722F"/>
    <w:rsid w:val="001475A5"/>
    <w:rsid w:val="0015050A"/>
    <w:rsid w:val="00152FC5"/>
    <w:rsid w:val="00156903"/>
    <w:rsid w:val="0016183B"/>
    <w:rsid w:val="001624A5"/>
    <w:rsid w:val="00163528"/>
    <w:rsid w:val="00165846"/>
    <w:rsid w:val="00166F2E"/>
    <w:rsid w:val="0017027D"/>
    <w:rsid w:val="00171C40"/>
    <w:rsid w:val="0017261F"/>
    <w:rsid w:val="001727B9"/>
    <w:rsid w:val="00175138"/>
    <w:rsid w:val="00175C64"/>
    <w:rsid w:val="00176756"/>
    <w:rsid w:val="00176868"/>
    <w:rsid w:val="0017768F"/>
    <w:rsid w:val="00181362"/>
    <w:rsid w:val="001845B8"/>
    <w:rsid w:val="00185A60"/>
    <w:rsid w:val="00187156"/>
    <w:rsid w:val="001915CD"/>
    <w:rsid w:val="00191BB3"/>
    <w:rsid w:val="00192046"/>
    <w:rsid w:val="00192674"/>
    <w:rsid w:val="00193AB5"/>
    <w:rsid w:val="001940A6"/>
    <w:rsid w:val="00195164"/>
    <w:rsid w:val="001961E3"/>
    <w:rsid w:val="001A16A1"/>
    <w:rsid w:val="001A5F2F"/>
    <w:rsid w:val="001A6949"/>
    <w:rsid w:val="001B084C"/>
    <w:rsid w:val="001B1EDF"/>
    <w:rsid w:val="001B28F4"/>
    <w:rsid w:val="001B2BA5"/>
    <w:rsid w:val="001B3723"/>
    <w:rsid w:val="001B4D1F"/>
    <w:rsid w:val="001B5E1E"/>
    <w:rsid w:val="001B60F6"/>
    <w:rsid w:val="001B69E3"/>
    <w:rsid w:val="001B7E4B"/>
    <w:rsid w:val="001C12DF"/>
    <w:rsid w:val="001C230D"/>
    <w:rsid w:val="001C23F6"/>
    <w:rsid w:val="001C24E0"/>
    <w:rsid w:val="001C356B"/>
    <w:rsid w:val="001C41D6"/>
    <w:rsid w:val="001C4547"/>
    <w:rsid w:val="001C493C"/>
    <w:rsid w:val="001C60AC"/>
    <w:rsid w:val="001D04DA"/>
    <w:rsid w:val="001D05DE"/>
    <w:rsid w:val="001D1A65"/>
    <w:rsid w:val="001D3A70"/>
    <w:rsid w:val="001D460B"/>
    <w:rsid w:val="001D4EFD"/>
    <w:rsid w:val="001D54AB"/>
    <w:rsid w:val="001D5D4A"/>
    <w:rsid w:val="001D65C5"/>
    <w:rsid w:val="001D6823"/>
    <w:rsid w:val="001E088F"/>
    <w:rsid w:val="001E109A"/>
    <w:rsid w:val="001E1311"/>
    <w:rsid w:val="001E2337"/>
    <w:rsid w:val="001E2EF3"/>
    <w:rsid w:val="001E4B54"/>
    <w:rsid w:val="001E51B5"/>
    <w:rsid w:val="001E5673"/>
    <w:rsid w:val="001E63E2"/>
    <w:rsid w:val="001E7DA9"/>
    <w:rsid w:val="001F119E"/>
    <w:rsid w:val="001F1407"/>
    <w:rsid w:val="001F1720"/>
    <w:rsid w:val="001F1917"/>
    <w:rsid w:val="001F2269"/>
    <w:rsid w:val="001F2771"/>
    <w:rsid w:val="001F29E3"/>
    <w:rsid w:val="002006BC"/>
    <w:rsid w:val="00200ADD"/>
    <w:rsid w:val="00202CFC"/>
    <w:rsid w:val="00203014"/>
    <w:rsid w:val="00204F4D"/>
    <w:rsid w:val="002078C9"/>
    <w:rsid w:val="00207F16"/>
    <w:rsid w:val="00210404"/>
    <w:rsid w:val="002105ED"/>
    <w:rsid w:val="0021088F"/>
    <w:rsid w:val="00210AC5"/>
    <w:rsid w:val="002113F5"/>
    <w:rsid w:val="002132D2"/>
    <w:rsid w:val="002171A0"/>
    <w:rsid w:val="00217251"/>
    <w:rsid w:val="002212C3"/>
    <w:rsid w:val="00222604"/>
    <w:rsid w:val="00223449"/>
    <w:rsid w:val="0022512C"/>
    <w:rsid w:val="00225772"/>
    <w:rsid w:val="00225829"/>
    <w:rsid w:val="0022724C"/>
    <w:rsid w:val="00227AFC"/>
    <w:rsid w:val="00227C71"/>
    <w:rsid w:val="0023055E"/>
    <w:rsid w:val="00231D18"/>
    <w:rsid w:val="002327DE"/>
    <w:rsid w:val="00233335"/>
    <w:rsid w:val="002361C2"/>
    <w:rsid w:val="002370BB"/>
    <w:rsid w:val="00237C42"/>
    <w:rsid w:val="00237E70"/>
    <w:rsid w:val="00240905"/>
    <w:rsid w:val="00240BD0"/>
    <w:rsid w:val="00241019"/>
    <w:rsid w:val="0024212C"/>
    <w:rsid w:val="00242893"/>
    <w:rsid w:val="00242F90"/>
    <w:rsid w:val="00247082"/>
    <w:rsid w:val="00247F51"/>
    <w:rsid w:val="00250F15"/>
    <w:rsid w:val="002513C0"/>
    <w:rsid w:val="0025285E"/>
    <w:rsid w:val="00260C1B"/>
    <w:rsid w:val="00261954"/>
    <w:rsid w:val="002630C2"/>
    <w:rsid w:val="0026316F"/>
    <w:rsid w:val="0026381A"/>
    <w:rsid w:val="00264E16"/>
    <w:rsid w:val="00265B5D"/>
    <w:rsid w:val="0026613D"/>
    <w:rsid w:val="0026795B"/>
    <w:rsid w:val="00271AAC"/>
    <w:rsid w:val="00272ABE"/>
    <w:rsid w:val="00273223"/>
    <w:rsid w:val="002733D7"/>
    <w:rsid w:val="00273D64"/>
    <w:rsid w:val="002745B6"/>
    <w:rsid w:val="002747BB"/>
    <w:rsid w:val="0027482D"/>
    <w:rsid w:val="00274A6D"/>
    <w:rsid w:val="002802C1"/>
    <w:rsid w:val="002809A2"/>
    <w:rsid w:val="00282453"/>
    <w:rsid w:val="00282B21"/>
    <w:rsid w:val="00285ECA"/>
    <w:rsid w:val="00286073"/>
    <w:rsid w:val="00286227"/>
    <w:rsid w:val="00290D85"/>
    <w:rsid w:val="00291B2B"/>
    <w:rsid w:val="002924CC"/>
    <w:rsid w:val="00293119"/>
    <w:rsid w:val="00293759"/>
    <w:rsid w:val="00293C9E"/>
    <w:rsid w:val="00296240"/>
    <w:rsid w:val="00297565"/>
    <w:rsid w:val="0029758A"/>
    <w:rsid w:val="00297751"/>
    <w:rsid w:val="002A0DE3"/>
    <w:rsid w:val="002A1B04"/>
    <w:rsid w:val="002A6D4D"/>
    <w:rsid w:val="002B1075"/>
    <w:rsid w:val="002B1C19"/>
    <w:rsid w:val="002B1E25"/>
    <w:rsid w:val="002B2CE6"/>
    <w:rsid w:val="002B54DA"/>
    <w:rsid w:val="002B5707"/>
    <w:rsid w:val="002B6DFA"/>
    <w:rsid w:val="002C02D1"/>
    <w:rsid w:val="002C05F3"/>
    <w:rsid w:val="002C1F13"/>
    <w:rsid w:val="002C2201"/>
    <w:rsid w:val="002C4415"/>
    <w:rsid w:val="002C4948"/>
    <w:rsid w:val="002C4A7C"/>
    <w:rsid w:val="002C7ACA"/>
    <w:rsid w:val="002C7C13"/>
    <w:rsid w:val="002D0217"/>
    <w:rsid w:val="002D08DE"/>
    <w:rsid w:val="002D11A1"/>
    <w:rsid w:val="002D4666"/>
    <w:rsid w:val="002D5CB0"/>
    <w:rsid w:val="002D7247"/>
    <w:rsid w:val="002E3119"/>
    <w:rsid w:val="002F131D"/>
    <w:rsid w:val="002F13EE"/>
    <w:rsid w:val="002F301A"/>
    <w:rsid w:val="002F387C"/>
    <w:rsid w:val="002F4436"/>
    <w:rsid w:val="002F4899"/>
    <w:rsid w:val="002F5171"/>
    <w:rsid w:val="002F5B3E"/>
    <w:rsid w:val="002F7D40"/>
    <w:rsid w:val="003000EE"/>
    <w:rsid w:val="0030288B"/>
    <w:rsid w:val="00302E95"/>
    <w:rsid w:val="00304B56"/>
    <w:rsid w:val="00310740"/>
    <w:rsid w:val="003108B4"/>
    <w:rsid w:val="00310A2E"/>
    <w:rsid w:val="00310E1E"/>
    <w:rsid w:val="00311D6E"/>
    <w:rsid w:val="0031278D"/>
    <w:rsid w:val="00314232"/>
    <w:rsid w:val="0031579F"/>
    <w:rsid w:val="00316110"/>
    <w:rsid w:val="003167C9"/>
    <w:rsid w:val="00316F0D"/>
    <w:rsid w:val="00317304"/>
    <w:rsid w:val="00317F79"/>
    <w:rsid w:val="00321760"/>
    <w:rsid w:val="00321B8E"/>
    <w:rsid w:val="00321CE8"/>
    <w:rsid w:val="00324285"/>
    <w:rsid w:val="00324425"/>
    <w:rsid w:val="003277D7"/>
    <w:rsid w:val="003305EA"/>
    <w:rsid w:val="0033065F"/>
    <w:rsid w:val="003309B7"/>
    <w:rsid w:val="003315B8"/>
    <w:rsid w:val="00331A9B"/>
    <w:rsid w:val="003325B7"/>
    <w:rsid w:val="00333685"/>
    <w:rsid w:val="00334FE2"/>
    <w:rsid w:val="0033508B"/>
    <w:rsid w:val="00335559"/>
    <w:rsid w:val="00335FE4"/>
    <w:rsid w:val="00336A57"/>
    <w:rsid w:val="00337474"/>
    <w:rsid w:val="00341193"/>
    <w:rsid w:val="00341555"/>
    <w:rsid w:val="0034253A"/>
    <w:rsid w:val="00343346"/>
    <w:rsid w:val="00343D58"/>
    <w:rsid w:val="003442CD"/>
    <w:rsid w:val="00344353"/>
    <w:rsid w:val="00345DE8"/>
    <w:rsid w:val="00346D9A"/>
    <w:rsid w:val="003475A6"/>
    <w:rsid w:val="0035274C"/>
    <w:rsid w:val="0035304C"/>
    <w:rsid w:val="00353573"/>
    <w:rsid w:val="00353CA9"/>
    <w:rsid w:val="00355F9F"/>
    <w:rsid w:val="003565F9"/>
    <w:rsid w:val="003639F0"/>
    <w:rsid w:val="00365F90"/>
    <w:rsid w:val="00365FBD"/>
    <w:rsid w:val="003664DA"/>
    <w:rsid w:val="003734C7"/>
    <w:rsid w:val="0037452E"/>
    <w:rsid w:val="0037512B"/>
    <w:rsid w:val="0037534F"/>
    <w:rsid w:val="003769A0"/>
    <w:rsid w:val="003804EF"/>
    <w:rsid w:val="00384189"/>
    <w:rsid w:val="003843CE"/>
    <w:rsid w:val="003848BB"/>
    <w:rsid w:val="00384BEE"/>
    <w:rsid w:val="0038635D"/>
    <w:rsid w:val="003913A0"/>
    <w:rsid w:val="00391541"/>
    <w:rsid w:val="003924C6"/>
    <w:rsid w:val="00392EEA"/>
    <w:rsid w:val="00393401"/>
    <w:rsid w:val="00393963"/>
    <w:rsid w:val="00393FC3"/>
    <w:rsid w:val="003962BE"/>
    <w:rsid w:val="0039662C"/>
    <w:rsid w:val="00396C17"/>
    <w:rsid w:val="00397105"/>
    <w:rsid w:val="00397239"/>
    <w:rsid w:val="003976D5"/>
    <w:rsid w:val="003A1587"/>
    <w:rsid w:val="003A160E"/>
    <w:rsid w:val="003A20F5"/>
    <w:rsid w:val="003A2488"/>
    <w:rsid w:val="003A27D3"/>
    <w:rsid w:val="003A419C"/>
    <w:rsid w:val="003A5264"/>
    <w:rsid w:val="003B145A"/>
    <w:rsid w:val="003B1D7D"/>
    <w:rsid w:val="003B2A19"/>
    <w:rsid w:val="003B4262"/>
    <w:rsid w:val="003B6C58"/>
    <w:rsid w:val="003B764B"/>
    <w:rsid w:val="003B7A0E"/>
    <w:rsid w:val="003C11DF"/>
    <w:rsid w:val="003C3797"/>
    <w:rsid w:val="003C40D7"/>
    <w:rsid w:val="003C56D3"/>
    <w:rsid w:val="003D070D"/>
    <w:rsid w:val="003D0995"/>
    <w:rsid w:val="003D0E0D"/>
    <w:rsid w:val="003D1E2D"/>
    <w:rsid w:val="003D29CB"/>
    <w:rsid w:val="003D37EF"/>
    <w:rsid w:val="003D4705"/>
    <w:rsid w:val="003D5E35"/>
    <w:rsid w:val="003E09D7"/>
    <w:rsid w:val="003E2693"/>
    <w:rsid w:val="003E32AF"/>
    <w:rsid w:val="003E3FE3"/>
    <w:rsid w:val="003E52E0"/>
    <w:rsid w:val="003E576A"/>
    <w:rsid w:val="003E5A14"/>
    <w:rsid w:val="003E5EA5"/>
    <w:rsid w:val="003E61F7"/>
    <w:rsid w:val="003E75FF"/>
    <w:rsid w:val="003E7E1C"/>
    <w:rsid w:val="003E7FC0"/>
    <w:rsid w:val="003F04D8"/>
    <w:rsid w:val="003F0ABF"/>
    <w:rsid w:val="003F0E69"/>
    <w:rsid w:val="003F4199"/>
    <w:rsid w:val="003F59DF"/>
    <w:rsid w:val="003F64A1"/>
    <w:rsid w:val="003F7BBD"/>
    <w:rsid w:val="00402E6B"/>
    <w:rsid w:val="00404039"/>
    <w:rsid w:val="0040577B"/>
    <w:rsid w:val="00405E64"/>
    <w:rsid w:val="00406B97"/>
    <w:rsid w:val="0040704D"/>
    <w:rsid w:val="00407997"/>
    <w:rsid w:val="0041178F"/>
    <w:rsid w:val="004137B6"/>
    <w:rsid w:val="0041630C"/>
    <w:rsid w:val="00417861"/>
    <w:rsid w:val="00417B08"/>
    <w:rsid w:val="00420D78"/>
    <w:rsid w:val="00422126"/>
    <w:rsid w:val="0042365C"/>
    <w:rsid w:val="00423F3B"/>
    <w:rsid w:val="004248A1"/>
    <w:rsid w:val="00426840"/>
    <w:rsid w:val="00430BB5"/>
    <w:rsid w:val="00432BCC"/>
    <w:rsid w:val="0043364A"/>
    <w:rsid w:val="00433F04"/>
    <w:rsid w:val="00434FE9"/>
    <w:rsid w:val="0043532C"/>
    <w:rsid w:val="004358DA"/>
    <w:rsid w:val="00435EEF"/>
    <w:rsid w:val="00435FDF"/>
    <w:rsid w:val="004425DB"/>
    <w:rsid w:val="0044373C"/>
    <w:rsid w:val="00443DD4"/>
    <w:rsid w:val="00445253"/>
    <w:rsid w:val="004503E5"/>
    <w:rsid w:val="00450FBF"/>
    <w:rsid w:val="00451831"/>
    <w:rsid w:val="00451E98"/>
    <w:rsid w:val="00453293"/>
    <w:rsid w:val="004532DC"/>
    <w:rsid w:val="00454306"/>
    <w:rsid w:val="004548F5"/>
    <w:rsid w:val="00455A71"/>
    <w:rsid w:val="004565AD"/>
    <w:rsid w:val="00456A37"/>
    <w:rsid w:val="00457168"/>
    <w:rsid w:val="0045755D"/>
    <w:rsid w:val="00464EC9"/>
    <w:rsid w:val="00466C75"/>
    <w:rsid w:val="00466F0C"/>
    <w:rsid w:val="00470560"/>
    <w:rsid w:val="0047074F"/>
    <w:rsid w:val="00470A9E"/>
    <w:rsid w:val="0047131E"/>
    <w:rsid w:val="00471CE9"/>
    <w:rsid w:val="00472568"/>
    <w:rsid w:val="00473C85"/>
    <w:rsid w:val="00474ED9"/>
    <w:rsid w:val="004767FA"/>
    <w:rsid w:val="004769A4"/>
    <w:rsid w:val="0047714A"/>
    <w:rsid w:val="00480916"/>
    <w:rsid w:val="00482C6F"/>
    <w:rsid w:val="00482D91"/>
    <w:rsid w:val="00483B7A"/>
    <w:rsid w:val="00484DF8"/>
    <w:rsid w:val="00486A4A"/>
    <w:rsid w:val="00490878"/>
    <w:rsid w:val="00491E5A"/>
    <w:rsid w:val="00493479"/>
    <w:rsid w:val="00493854"/>
    <w:rsid w:val="00493C4B"/>
    <w:rsid w:val="00493DF9"/>
    <w:rsid w:val="00494F31"/>
    <w:rsid w:val="00495BF4"/>
    <w:rsid w:val="004A03EF"/>
    <w:rsid w:val="004A261F"/>
    <w:rsid w:val="004A2A3F"/>
    <w:rsid w:val="004A5F8F"/>
    <w:rsid w:val="004A6393"/>
    <w:rsid w:val="004A6C45"/>
    <w:rsid w:val="004A6DC5"/>
    <w:rsid w:val="004B0B10"/>
    <w:rsid w:val="004B13FF"/>
    <w:rsid w:val="004B2B4D"/>
    <w:rsid w:val="004B3FD3"/>
    <w:rsid w:val="004B5474"/>
    <w:rsid w:val="004B56C4"/>
    <w:rsid w:val="004B7445"/>
    <w:rsid w:val="004C0152"/>
    <w:rsid w:val="004C0893"/>
    <w:rsid w:val="004C0AB4"/>
    <w:rsid w:val="004C0BDD"/>
    <w:rsid w:val="004C1FF6"/>
    <w:rsid w:val="004C2BC7"/>
    <w:rsid w:val="004C31DC"/>
    <w:rsid w:val="004C3742"/>
    <w:rsid w:val="004C41EA"/>
    <w:rsid w:val="004C5667"/>
    <w:rsid w:val="004D3FCE"/>
    <w:rsid w:val="004D4CCE"/>
    <w:rsid w:val="004D5250"/>
    <w:rsid w:val="004D6454"/>
    <w:rsid w:val="004D676A"/>
    <w:rsid w:val="004D7240"/>
    <w:rsid w:val="004D7C1A"/>
    <w:rsid w:val="004E0199"/>
    <w:rsid w:val="004E2479"/>
    <w:rsid w:val="004E3BAA"/>
    <w:rsid w:val="004E4B3D"/>
    <w:rsid w:val="004E502D"/>
    <w:rsid w:val="004E7BA0"/>
    <w:rsid w:val="004F0A52"/>
    <w:rsid w:val="004F125C"/>
    <w:rsid w:val="004F1953"/>
    <w:rsid w:val="004F27D8"/>
    <w:rsid w:val="004F404E"/>
    <w:rsid w:val="004F6285"/>
    <w:rsid w:val="004F68CB"/>
    <w:rsid w:val="004F7F30"/>
    <w:rsid w:val="005004D3"/>
    <w:rsid w:val="005023BF"/>
    <w:rsid w:val="005026F6"/>
    <w:rsid w:val="00502E59"/>
    <w:rsid w:val="0050371A"/>
    <w:rsid w:val="00504F8A"/>
    <w:rsid w:val="005050B9"/>
    <w:rsid w:val="00505FFD"/>
    <w:rsid w:val="0050636E"/>
    <w:rsid w:val="005138B2"/>
    <w:rsid w:val="00513913"/>
    <w:rsid w:val="0051638D"/>
    <w:rsid w:val="00516FA8"/>
    <w:rsid w:val="00520F4E"/>
    <w:rsid w:val="005218E5"/>
    <w:rsid w:val="00521DA4"/>
    <w:rsid w:val="00522C1E"/>
    <w:rsid w:val="00523822"/>
    <w:rsid w:val="00524660"/>
    <w:rsid w:val="00525579"/>
    <w:rsid w:val="0052598E"/>
    <w:rsid w:val="00527A46"/>
    <w:rsid w:val="005305BF"/>
    <w:rsid w:val="00531947"/>
    <w:rsid w:val="00531B41"/>
    <w:rsid w:val="00533AB4"/>
    <w:rsid w:val="005352DE"/>
    <w:rsid w:val="00535817"/>
    <w:rsid w:val="00535D35"/>
    <w:rsid w:val="00536503"/>
    <w:rsid w:val="0053695D"/>
    <w:rsid w:val="005372A4"/>
    <w:rsid w:val="0054051D"/>
    <w:rsid w:val="005409AE"/>
    <w:rsid w:val="00541B5A"/>
    <w:rsid w:val="0054224F"/>
    <w:rsid w:val="005429B9"/>
    <w:rsid w:val="00542F54"/>
    <w:rsid w:val="005432F8"/>
    <w:rsid w:val="00543C1D"/>
    <w:rsid w:val="0054459C"/>
    <w:rsid w:val="005457E3"/>
    <w:rsid w:val="0054737A"/>
    <w:rsid w:val="0054737D"/>
    <w:rsid w:val="005507DD"/>
    <w:rsid w:val="005519D5"/>
    <w:rsid w:val="00552B82"/>
    <w:rsid w:val="00553251"/>
    <w:rsid w:val="00553335"/>
    <w:rsid w:val="005541CE"/>
    <w:rsid w:val="00554200"/>
    <w:rsid w:val="005545E7"/>
    <w:rsid w:val="00554F01"/>
    <w:rsid w:val="00556656"/>
    <w:rsid w:val="00556F49"/>
    <w:rsid w:val="00557112"/>
    <w:rsid w:val="00560024"/>
    <w:rsid w:val="00561001"/>
    <w:rsid w:val="0056163E"/>
    <w:rsid w:val="00561C58"/>
    <w:rsid w:val="00561EA2"/>
    <w:rsid w:val="00564256"/>
    <w:rsid w:val="00564AB4"/>
    <w:rsid w:val="0056563B"/>
    <w:rsid w:val="00566689"/>
    <w:rsid w:val="0056733B"/>
    <w:rsid w:val="00567A5F"/>
    <w:rsid w:val="005700E6"/>
    <w:rsid w:val="00570EF7"/>
    <w:rsid w:val="00572867"/>
    <w:rsid w:val="0057389F"/>
    <w:rsid w:val="005739DE"/>
    <w:rsid w:val="00574CB9"/>
    <w:rsid w:val="0057673C"/>
    <w:rsid w:val="00576AFE"/>
    <w:rsid w:val="0057733F"/>
    <w:rsid w:val="00580787"/>
    <w:rsid w:val="0058098D"/>
    <w:rsid w:val="00581CDF"/>
    <w:rsid w:val="00583C16"/>
    <w:rsid w:val="00583E5B"/>
    <w:rsid w:val="0058413A"/>
    <w:rsid w:val="005844B9"/>
    <w:rsid w:val="005844F4"/>
    <w:rsid w:val="0058699C"/>
    <w:rsid w:val="00587515"/>
    <w:rsid w:val="00590D5F"/>
    <w:rsid w:val="00594338"/>
    <w:rsid w:val="00594485"/>
    <w:rsid w:val="0059488C"/>
    <w:rsid w:val="005957E9"/>
    <w:rsid w:val="00596045"/>
    <w:rsid w:val="005961D6"/>
    <w:rsid w:val="005967FF"/>
    <w:rsid w:val="0059759B"/>
    <w:rsid w:val="005A1931"/>
    <w:rsid w:val="005A2EC3"/>
    <w:rsid w:val="005A34B0"/>
    <w:rsid w:val="005A4157"/>
    <w:rsid w:val="005A4489"/>
    <w:rsid w:val="005A629B"/>
    <w:rsid w:val="005A64D6"/>
    <w:rsid w:val="005A65EC"/>
    <w:rsid w:val="005A687A"/>
    <w:rsid w:val="005B0288"/>
    <w:rsid w:val="005B05DA"/>
    <w:rsid w:val="005B0E09"/>
    <w:rsid w:val="005B140B"/>
    <w:rsid w:val="005B14A9"/>
    <w:rsid w:val="005B38AA"/>
    <w:rsid w:val="005B3A30"/>
    <w:rsid w:val="005B44BB"/>
    <w:rsid w:val="005B4729"/>
    <w:rsid w:val="005B4B0B"/>
    <w:rsid w:val="005B5110"/>
    <w:rsid w:val="005B56DF"/>
    <w:rsid w:val="005B5AFE"/>
    <w:rsid w:val="005B6AD1"/>
    <w:rsid w:val="005B7CDF"/>
    <w:rsid w:val="005C1CAB"/>
    <w:rsid w:val="005C2A08"/>
    <w:rsid w:val="005C2C13"/>
    <w:rsid w:val="005C2C9A"/>
    <w:rsid w:val="005C2EF8"/>
    <w:rsid w:val="005C4177"/>
    <w:rsid w:val="005D1275"/>
    <w:rsid w:val="005D1A23"/>
    <w:rsid w:val="005D2917"/>
    <w:rsid w:val="005D2E10"/>
    <w:rsid w:val="005D3326"/>
    <w:rsid w:val="005D3EEE"/>
    <w:rsid w:val="005D4711"/>
    <w:rsid w:val="005D4CDE"/>
    <w:rsid w:val="005D5E81"/>
    <w:rsid w:val="005D64BA"/>
    <w:rsid w:val="005E0D86"/>
    <w:rsid w:val="005E0EE8"/>
    <w:rsid w:val="005E0F9F"/>
    <w:rsid w:val="005E1B03"/>
    <w:rsid w:val="005E1B22"/>
    <w:rsid w:val="005E349B"/>
    <w:rsid w:val="005E3826"/>
    <w:rsid w:val="005E4032"/>
    <w:rsid w:val="005E53D3"/>
    <w:rsid w:val="005E7F11"/>
    <w:rsid w:val="005F32FE"/>
    <w:rsid w:val="005F4DF5"/>
    <w:rsid w:val="005F55C5"/>
    <w:rsid w:val="005F56FE"/>
    <w:rsid w:val="00600209"/>
    <w:rsid w:val="00601E50"/>
    <w:rsid w:val="0060220C"/>
    <w:rsid w:val="00602BE0"/>
    <w:rsid w:val="006030CA"/>
    <w:rsid w:val="00604EB8"/>
    <w:rsid w:val="006051CB"/>
    <w:rsid w:val="0060566F"/>
    <w:rsid w:val="00607406"/>
    <w:rsid w:val="0060742D"/>
    <w:rsid w:val="006105A0"/>
    <w:rsid w:val="00611359"/>
    <w:rsid w:val="006128C3"/>
    <w:rsid w:val="00613DD9"/>
    <w:rsid w:val="00613FA2"/>
    <w:rsid w:val="006154E2"/>
    <w:rsid w:val="006177FE"/>
    <w:rsid w:val="0061795C"/>
    <w:rsid w:val="00620319"/>
    <w:rsid w:val="00620654"/>
    <w:rsid w:val="0062181C"/>
    <w:rsid w:val="00623342"/>
    <w:rsid w:val="00624737"/>
    <w:rsid w:val="006249EB"/>
    <w:rsid w:val="00625915"/>
    <w:rsid w:val="006276E9"/>
    <w:rsid w:val="00630104"/>
    <w:rsid w:val="00632270"/>
    <w:rsid w:val="00632540"/>
    <w:rsid w:val="00633312"/>
    <w:rsid w:val="0063790A"/>
    <w:rsid w:val="006405B4"/>
    <w:rsid w:val="00641665"/>
    <w:rsid w:val="00642294"/>
    <w:rsid w:val="00643D84"/>
    <w:rsid w:val="00643E8D"/>
    <w:rsid w:val="00645809"/>
    <w:rsid w:val="0064618C"/>
    <w:rsid w:val="00647597"/>
    <w:rsid w:val="006476FA"/>
    <w:rsid w:val="00647808"/>
    <w:rsid w:val="00647C65"/>
    <w:rsid w:val="006503D7"/>
    <w:rsid w:val="0065069A"/>
    <w:rsid w:val="006535E1"/>
    <w:rsid w:val="00653960"/>
    <w:rsid w:val="00653E4D"/>
    <w:rsid w:val="0065753E"/>
    <w:rsid w:val="0066037E"/>
    <w:rsid w:val="00661886"/>
    <w:rsid w:val="00661D2C"/>
    <w:rsid w:val="006633DF"/>
    <w:rsid w:val="00663483"/>
    <w:rsid w:val="00666D01"/>
    <w:rsid w:val="006677BB"/>
    <w:rsid w:val="006708DE"/>
    <w:rsid w:val="0067166E"/>
    <w:rsid w:val="00676FF5"/>
    <w:rsid w:val="0068042E"/>
    <w:rsid w:val="0068091B"/>
    <w:rsid w:val="00680AC2"/>
    <w:rsid w:val="00681032"/>
    <w:rsid w:val="006819EF"/>
    <w:rsid w:val="00682943"/>
    <w:rsid w:val="00684221"/>
    <w:rsid w:val="00684EDA"/>
    <w:rsid w:val="0068570B"/>
    <w:rsid w:val="00685864"/>
    <w:rsid w:val="006868DD"/>
    <w:rsid w:val="006876B4"/>
    <w:rsid w:val="006878AA"/>
    <w:rsid w:val="00687901"/>
    <w:rsid w:val="006903C9"/>
    <w:rsid w:val="00691DCD"/>
    <w:rsid w:val="006921C9"/>
    <w:rsid w:val="006925BD"/>
    <w:rsid w:val="00692604"/>
    <w:rsid w:val="00692DB4"/>
    <w:rsid w:val="00693E46"/>
    <w:rsid w:val="006945D2"/>
    <w:rsid w:val="006952E9"/>
    <w:rsid w:val="00695323"/>
    <w:rsid w:val="00696D2E"/>
    <w:rsid w:val="0069733E"/>
    <w:rsid w:val="006A2319"/>
    <w:rsid w:val="006A3488"/>
    <w:rsid w:val="006A3E8C"/>
    <w:rsid w:val="006A4C17"/>
    <w:rsid w:val="006A5BA4"/>
    <w:rsid w:val="006A7792"/>
    <w:rsid w:val="006A7D81"/>
    <w:rsid w:val="006A7DE2"/>
    <w:rsid w:val="006B1123"/>
    <w:rsid w:val="006B1AD9"/>
    <w:rsid w:val="006B4366"/>
    <w:rsid w:val="006B4390"/>
    <w:rsid w:val="006B4EB0"/>
    <w:rsid w:val="006B794C"/>
    <w:rsid w:val="006B7AC2"/>
    <w:rsid w:val="006C0143"/>
    <w:rsid w:val="006C3538"/>
    <w:rsid w:val="006C49E8"/>
    <w:rsid w:val="006C6A9E"/>
    <w:rsid w:val="006C7207"/>
    <w:rsid w:val="006D081D"/>
    <w:rsid w:val="006D0D6A"/>
    <w:rsid w:val="006D16CF"/>
    <w:rsid w:val="006D1F94"/>
    <w:rsid w:val="006D75F0"/>
    <w:rsid w:val="006D7864"/>
    <w:rsid w:val="006D7EFA"/>
    <w:rsid w:val="006D7F39"/>
    <w:rsid w:val="006E066C"/>
    <w:rsid w:val="006E2EDB"/>
    <w:rsid w:val="006E36B6"/>
    <w:rsid w:val="006E5103"/>
    <w:rsid w:val="006E57BE"/>
    <w:rsid w:val="006E5E89"/>
    <w:rsid w:val="006E73F1"/>
    <w:rsid w:val="006F00E0"/>
    <w:rsid w:val="006F206B"/>
    <w:rsid w:val="006F44DD"/>
    <w:rsid w:val="006F4C45"/>
    <w:rsid w:val="006F6670"/>
    <w:rsid w:val="007000C3"/>
    <w:rsid w:val="0070017C"/>
    <w:rsid w:val="007009AB"/>
    <w:rsid w:val="007015CF"/>
    <w:rsid w:val="00701646"/>
    <w:rsid w:val="0070248F"/>
    <w:rsid w:val="007039BF"/>
    <w:rsid w:val="00703CC5"/>
    <w:rsid w:val="0070404E"/>
    <w:rsid w:val="007041A4"/>
    <w:rsid w:val="00704C26"/>
    <w:rsid w:val="007053F4"/>
    <w:rsid w:val="00706BC9"/>
    <w:rsid w:val="00706C16"/>
    <w:rsid w:val="00706E91"/>
    <w:rsid w:val="0070755D"/>
    <w:rsid w:val="007125E9"/>
    <w:rsid w:val="007166E0"/>
    <w:rsid w:val="00716FE4"/>
    <w:rsid w:val="007176E9"/>
    <w:rsid w:val="0072015E"/>
    <w:rsid w:val="0072027E"/>
    <w:rsid w:val="00720D0A"/>
    <w:rsid w:val="00721F4E"/>
    <w:rsid w:val="00722194"/>
    <w:rsid w:val="00722B3A"/>
    <w:rsid w:val="00722CF1"/>
    <w:rsid w:val="0072324B"/>
    <w:rsid w:val="007240E7"/>
    <w:rsid w:val="007266CF"/>
    <w:rsid w:val="007278BD"/>
    <w:rsid w:val="007279CF"/>
    <w:rsid w:val="00727B61"/>
    <w:rsid w:val="00727E48"/>
    <w:rsid w:val="007303AA"/>
    <w:rsid w:val="0073055C"/>
    <w:rsid w:val="00730F0A"/>
    <w:rsid w:val="007310E2"/>
    <w:rsid w:val="0073156E"/>
    <w:rsid w:val="007316BC"/>
    <w:rsid w:val="007321EF"/>
    <w:rsid w:val="0073325B"/>
    <w:rsid w:val="00733697"/>
    <w:rsid w:val="007336AC"/>
    <w:rsid w:val="007340F6"/>
    <w:rsid w:val="00735184"/>
    <w:rsid w:val="007355A2"/>
    <w:rsid w:val="007376AF"/>
    <w:rsid w:val="00737E07"/>
    <w:rsid w:val="00740428"/>
    <w:rsid w:val="007406D4"/>
    <w:rsid w:val="00741144"/>
    <w:rsid w:val="00741946"/>
    <w:rsid w:val="00741A4B"/>
    <w:rsid w:val="00741F32"/>
    <w:rsid w:val="007431E0"/>
    <w:rsid w:val="007435A4"/>
    <w:rsid w:val="00744CCB"/>
    <w:rsid w:val="00744E51"/>
    <w:rsid w:val="00745A83"/>
    <w:rsid w:val="00745BD1"/>
    <w:rsid w:val="0075012C"/>
    <w:rsid w:val="007503D8"/>
    <w:rsid w:val="00750A5F"/>
    <w:rsid w:val="00751154"/>
    <w:rsid w:val="00751AA3"/>
    <w:rsid w:val="00751CC0"/>
    <w:rsid w:val="00753021"/>
    <w:rsid w:val="00755D52"/>
    <w:rsid w:val="00757750"/>
    <w:rsid w:val="0076071E"/>
    <w:rsid w:val="007621E0"/>
    <w:rsid w:val="00764918"/>
    <w:rsid w:val="00764B74"/>
    <w:rsid w:val="00766500"/>
    <w:rsid w:val="00771B91"/>
    <w:rsid w:val="00771ED7"/>
    <w:rsid w:val="00772B97"/>
    <w:rsid w:val="007731F1"/>
    <w:rsid w:val="007742A0"/>
    <w:rsid w:val="0077430B"/>
    <w:rsid w:val="00774424"/>
    <w:rsid w:val="00774A21"/>
    <w:rsid w:val="00776246"/>
    <w:rsid w:val="00777032"/>
    <w:rsid w:val="0077761B"/>
    <w:rsid w:val="007805C5"/>
    <w:rsid w:val="00781279"/>
    <w:rsid w:val="007830FD"/>
    <w:rsid w:val="007831D2"/>
    <w:rsid w:val="0078435C"/>
    <w:rsid w:val="00785AF9"/>
    <w:rsid w:val="00785CBC"/>
    <w:rsid w:val="00785DB9"/>
    <w:rsid w:val="0078697A"/>
    <w:rsid w:val="00787571"/>
    <w:rsid w:val="007877EF"/>
    <w:rsid w:val="00787A1C"/>
    <w:rsid w:val="00787BA6"/>
    <w:rsid w:val="00787D6C"/>
    <w:rsid w:val="007902DA"/>
    <w:rsid w:val="00790683"/>
    <w:rsid w:val="00790B13"/>
    <w:rsid w:val="00792FC4"/>
    <w:rsid w:val="0079438D"/>
    <w:rsid w:val="007947BF"/>
    <w:rsid w:val="00795718"/>
    <w:rsid w:val="007958B4"/>
    <w:rsid w:val="00795EC1"/>
    <w:rsid w:val="00795ECC"/>
    <w:rsid w:val="00796E20"/>
    <w:rsid w:val="00796F3A"/>
    <w:rsid w:val="00797109"/>
    <w:rsid w:val="00797AB4"/>
    <w:rsid w:val="007A0828"/>
    <w:rsid w:val="007A18CB"/>
    <w:rsid w:val="007A2313"/>
    <w:rsid w:val="007A4732"/>
    <w:rsid w:val="007A59F0"/>
    <w:rsid w:val="007A6609"/>
    <w:rsid w:val="007A7D2D"/>
    <w:rsid w:val="007B206A"/>
    <w:rsid w:val="007B3E27"/>
    <w:rsid w:val="007B3F5C"/>
    <w:rsid w:val="007B4EC7"/>
    <w:rsid w:val="007B6DA1"/>
    <w:rsid w:val="007B790E"/>
    <w:rsid w:val="007C2274"/>
    <w:rsid w:val="007C3212"/>
    <w:rsid w:val="007C3D9C"/>
    <w:rsid w:val="007C3EA5"/>
    <w:rsid w:val="007C46F9"/>
    <w:rsid w:val="007C50FC"/>
    <w:rsid w:val="007D1A88"/>
    <w:rsid w:val="007D1D30"/>
    <w:rsid w:val="007D235C"/>
    <w:rsid w:val="007D2BDD"/>
    <w:rsid w:val="007D4581"/>
    <w:rsid w:val="007D4C77"/>
    <w:rsid w:val="007D4F94"/>
    <w:rsid w:val="007D5B58"/>
    <w:rsid w:val="007D6340"/>
    <w:rsid w:val="007D67A4"/>
    <w:rsid w:val="007D6BAC"/>
    <w:rsid w:val="007D7ECA"/>
    <w:rsid w:val="007D7FE3"/>
    <w:rsid w:val="007E0EB2"/>
    <w:rsid w:val="007E1BCC"/>
    <w:rsid w:val="007E1D6C"/>
    <w:rsid w:val="007E36E0"/>
    <w:rsid w:val="007E6A3D"/>
    <w:rsid w:val="007E75E3"/>
    <w:rsid w:val="007E7B49"/>
    <w:rsid w:val="007E7E74"/>
    <w:rsid w:val="007F0185"/>
    <w:rsid w:val="007F2E10"/>
    <w:rsid w:val="007F4B6F"/>
    <w:rsid w:val="007F50E7"/>
    <w:rsid w:val="007F5180"/>
    <w:rsid w:val="007F74E5"/>
    <w:rsid w:val="007F7E09"/>
    <w:rsid w:val="00801D0E"/>
    <w:rsid w:val="00801D97"/>
    <w:rsid w:val="00801DB1"/>
    <w:rsid w:val="00802F04"/>
    <w:rsid w:val="00803815"/>
    <w:rsid w:val="00805ED1"/>
    <w:rsid w:val="00807B30"/>
    <w:rsid w:val="00807DDC"/>
    <w:rsid w:val="008123A0"/>
    <w:rsid w:val="0081430B"/>
    <w:rsid w:val="0081470E"/>
    <w:rsid w:val="0081591C"/>
    <w:rsid w:val="00816C76"/>
    <w:rsid w:val="00816E5C"/>
    <w:rsid w:val="00817442"/>
    <w:rsid w:val="008178FF"/>
    <w:rsid w:val="00820297"/>
    <w:rsid w:val="00820599"/>
    <w:rsid w:val="00821EF9"/>
    <w:rsid w:val="00822A87"/>
    <w:rsid w:val="0082314F"/>
    <w:rsid w:val="00823518"/>
    <w:rsid w:val="008242D1"/>
    <w:rsid w:val="00824F7B"/>
    <w:rsid w:val="008254ED"/>
    <w:rsid w:val="00827041"/>
    <w:rsid w:val="008305B9"/>
    <w:rsid w:val="0083584A"/>
    <w:rsid w:val="00836349"/>
    <w:rsid w:val="00841BCB"/>
    <w:rsid w:val="00842E63"/>
    <w:rsid w:val="00847145"/>
    <w:rsid w:val="00850796"/>
    <w:rsid w:val="00850E39"/>
    <w:rsid w:val="00853274"/>
    <w:rsid w:val="00853401"/>
    <w:rsid w:val="00855261"/>
    <w:rsid w:val="00856D7B"/>
    <w:rsid w:val="00856DA5"/>
    <w:rsid w:val="00857599"/>
    <w:rsid w:val="00857818"/>
    <w:rsid w:val="00857BEE"/>
    <w:rsid w:val="0086048B"/>
    <w:rsid w:val="008612DE"/>
    <w:rsid w:val="00861B2A"/>
    <w:rsid w:val="00861F19"/>
    <w:rsid w:val="00863C55"/>
    <w:rsid w:val="0086425F"/>
    <w:rsid w:val="00866018"/>
    <w:rsid w:val="00867C70"/>
    <w:rsid w:val="008708FA"/>
    <w:rsid w:val="00871526"/>
    <w:rsid w:val="00873374"/>
    <w:rsid w:val="008737ED"/>
    <w:rsid w:val="00873A07"/>
    <w:rsid w:val="00873A17"/>
    <w:rsid w:val="00874009"/>
    <w:rsid w:val="008751C7"/>
    <w:rsid w:val="0087520F"/>
    <w:rsid w:val="0088027C"/>
    <w:rsid w:val="00880392"/>
    <w:rsid w:val="00881684"/>
    <w:rsid w:val="00884EF0"/>
    <w:rsid w:val="00885C4B"/>
    <w:rsid w:val="00885EA0"/>
    <w:rsid w:val="008878C0"/>
    <w:rsid w:val="00890DB6"/>
    <w:rsid w:val="00891B75"/>
    <w:rsid w:val="00891FAF"/>
    <w:rsid w:val="00896DB1"/>
    <w:rsid w:val="008976AA"/>
    <w:rsid w:val="008A0C94"/>
    <w:rsid w:val="008A1A89"/>
    <w:rsid w:val="008A2DCD"/>
    <w:rsid w:val="008A3FFF"/>
    <w:rsid w:val="008A48CA"/>
    <w:rsid w:val="008A4BBE"/>
    <w:rsid w:val="008A590A"/>
    <w:rsid w:val="008A5935"/>
    <w:rsid w:val="008A5CFC"/>
    <w:rsid w:val="008A633C"/>
    <w:rsid w:val="008A6923"/>
    <w:rsid w:val="008A7570"/>
    <w:rsid w:val="008A791C"/>
    <w:rsid w:val="008A7D80"/>
    <w:rsid w:val="008B250E"/>
    <w:rsid w:val="008B5501"/>
    <w:rsid w:val="008B5EAC"/>
    <w:rsid w:val="008B69DE"/>
    <w:rsid w:val="008B79DB"/>
    <w:rsid w:val="008C0875"/>
    <w:rsid w:val="008C0A95"/>
    <w:rsid w:val="008C1AF8"/>
    <w:rsid w:val="008C24BB"/>
    <w:rsid w:val="008C2559"/>
    <w:rsid w:val="008C28A4"/>
    <w:rsid w:val="008C45B0"/>
    <w:rsid w:val="008C56E6"/>
    <w:rsid w:val="008C7668"/>
    <w:rsid w:val="008C7FBA"/>
    <w:rsid w:val="008D3485"/>
    <w:rsid w:val="008D377E"/>
    <w:rsid w:val="008D40FE"/>
    <w:rsid w:val="008D710A"/>
    <w:rsid w:val="008D773C"/>
    <w:rsid w:val="008D7896"/>
    <w:rsid w:val="008D7AB7"/>
    <w:rsid w:val="008E01F5"/>
    <w:rsid w:val="008E0965"/>
    <w:rsid w:val="008E36BE"/>
    <w:rsid w:val="008E4B6E"/>
    <w:rsid w:val="008E52E4"/>
    <w:rsid w:val="008E5C73"/>
    <w:rsid w:val="008E7F5C"/>
    <w:rsid w:val="008F2D2C"/>
    <w:rsid w:val="008F7703"/>
    <w:rsid w:val="008F7DF7"/>
    <w:rsid w:val="0090124B"/>
    <w:rsid w:val="00901422"/>
    <w:rsid w:val="00901AFA"/>
    <w:rsid w:val="00901D72"/>
    <w:rsid w:val="00902156"/>
    <w:rsid w:val="00903163"/>
    <w:rsid w:val="00905111"/>
    <w:rsid w:val="00905598"/>
    <w:rsid w:val="00905610"/>
    <w:rsid w:val="009056BD"/>
    <w:rsid w:val="009067A4"/>
    <w:rsid w:val="00906A17"/>
    <w:rsid w:val="009119A3"/>
    <w:rsid w:val="00911CA2"/>
    <w:rsid w:val="0091260D"/>
    <w:rsid w:val="00912B5F"/>
    <w:rsid w:val="00912EF9"/>
    <w:rsid w:val="009153DB"/>
    <w:rsid w:val="00921855"/>
    <w:rsid w:val="00924ECA"/>
    <w:rsid w:val="00925433"/>
    <w:rsid w:val="0092567B"/>
    <w:rsid w:val="00926546"/>
    <w:rsid w:val="00926A83"/>
    <w:rsid w:val="0093045D"/>
    <w:rsid w:val="00930A46"/>
    <w:rsid w:val="00933121"/>
    <w:rsid w:val="00933DF9"/>
    <w:rsid w:val="00936540"/>
    <w:rsid w:val="009379C4"/>
    <w:rsid w:val="009379D3"/>
    <w:rsid w:val="00937FF5"/>
    <w:rsid w:val="00940580"/>
    <w:rsid w:val="009406A1"/>
    <w:rsid w:val="009421E0"/>
    <w:rsid w:val="00943106"/>
    <w:rsid w:val="009453AF"/>
    <w:rsid w:val="0094676F"/>
    <w:rsid w:val="009502F9"/>
    <w:rsid w:val="009507D3"/>
    <w:rsid w:val="00950B64"/>
    <w:rsid w:val="00951EB8"/>
    <w:rsid w:val="00951F24"/>
    <w:rsid w:val="00953EBA"/>
    <w:rsid w:val="00953F81"/>
    <w:rsid w:val="00955E0A"/>
    <w:rsid w:val="009573F5"/>
    <w:rsid w:val="009601B9"/>
    <w:rsid w:val="00960753"/>
    <w:rsid w:val="00961B76"/>
    <w:rsid w:val="00963267"/>
    <w:rsid w:val="009642B4"/>
    <w:rsid w:val="009649A6"/>
    <w:rsid w:val="00965109"/>
    <w:rsid w:val="009652B0"/>
    <w:rsid w:val="00966B8E"/>
    <w:rsid w:val="00971F4B"/>
    <w:rsid w:val="00972F3A"/>
    <w:rsid w:val="0097312D"/>
    <w:rsid w:val="00973A3A"/>
    <w:rsid w:val="009751F1"/>
    <w:rsid w:val="009759BF"/>
    <w:rsid w:val="00975C10"/>
    <w:rsid w:val="009766BA"/>
    <w:rsid w:val="009802A6"/>
    <w:rsid w:val="00980D3C"/>
    <w:rsid w:val="00980DAB"/>
    <w:rsid w:val="009816F8"/>
    <w:rsid w:val="009842F3"/>
    <w:rsid w:val="0098510E"/>
    <w:rsid w:val="00986AAE"/>
    <w:rsid w:val="00986ADC"/>
    <w:rsid w:val="00987D72"/>
    <w:rsid w:val="0099132F"/>
    <w:rsid w:val="00991AC7"/>
    <w:rsid w:val="0099205C"/>
    <w:rsid w:val="009922F3"/>
    <w:rsid w:val="0099305A"/>
    <w:rsid w:val="00993608"/>
    <w:rsid w:val="00993969"/>
    <w:rsid w:val="00993B84"/>
    <w:rsid w:val="00994365"/>
    <w:rsid w:val="00997CA7"/>
    <w:rsid w:val="009A14B0"/>
    <w:rsid w:val="009A1C9B"/>
    <w:rsid w:val="009A3D4D"/>
    <w:rsid w:val="009A5B35"/>
    <w:rsid w:val="009A5FAA"/>
    <w:rsid w:val="009A6242"/>
    <w:rsid w:val="009A7DD8"/>
    <w:rsid w:val="009B1627"/>
    <w:rsid w:val="009B2094"/>
    <w:rsid w:val="009B362A"/>
    <w:rsid w:val="009B377D"/>
    <w:rsid w:val="009B6502"/>
    <w:rsid w:val="009B669D"/>
    <w:rsid w:val="009B79DC"/>
    <w:rsid w:val="009B7A73"/>
    <w:rsid w:val="009C14F0"/>
    <w:rsid w:val="009C16BB"/>
    <w:rsid w:val="009C1D89"/>
    <w:rsid w:val="009C221F"/>
    <w:rsid w:val="009C2C9D"/>
    <w:rsid w:val="009C4B49"/>
    <w:rsid w:val="009C5560"/>
    <w:rsid w:val="009C6085"/>
    <w:rsid w:val="009D3228"/>
    <w:rsid w:val="009D3D98"/>
    <w:rsid w:val="009D4280"/>
    <w:rsid w:val="009D49C9"/>
    <w:rsid w:val="009D4B09"/>
    <w:rsid w:val="009E016B"/>
    <w:rsid w:val="009E0743"/>
    <w:rsid w:val="009E37F1"/>
    <w:rsid w:val="009E4717"/>
    <w:rsid w:val="009E5B6D"/>
    <w:rsid w:val="009E5BDE"/>
    <w:rsid w:val="009E6309"/>
    <w:rsid w:val="009E7394"/>
    <w:rsid w:val="009E7881"/>
    <w:rsid w:val="009F083E"/>
    <w:rsid w:val="009F19E7"/>
    <w:rsid w:val="009F1B79"/>
    <w:rsid w:val="009F324F"/>
    <w:rsid w:val="009F3935"/>
    <w:rsid w:val="009F3CE5"/>
    <w:rsid w:val="009F5705"/>
    <w:rsid w:val="009F665A"/>
    <w:rsid w:val="009F724D"/>
    <w:rsid w:val="009F7327"/>
    <w:rsid w:val="009F78D7"/>
    <w:rsid w:val="00A0353E"/>
    <w:rsid w:val="00A0375E"/>
    <w:rsid w:val="00A1303D"/>
    <w:rsid w:val="00A158A4"/>
    <w:rsid w:val="00A17961"/>
    <w:rsid w:val="00A17A84"/>
    <w:rsid w:val="00A2020B"/>
    <w:rsid w:val="00A222D7"/>
    <w:rsid w:val="00A22E94"/>
    <w:rsid w:val="00A23BD7"/>
    <w:rsid w:val="00A251F7"/>
    <w:rsid w:val="00A25B81"/>
    <w:rsid w:val="00A277D5"/>
    <w:rsid w:val="00A31978"/>
    <w:rsid w:val="00A331AF"/>
    <w:rsid w:val="00A340B3"/>
    <w:rsid w:val="00A34D3E"/>
    <w:rsid w:val="00A40628"/>
    <w:rsid w:val="00A40C5F"/>
    <w:rsid w:val="00A42D9A"/>
    <w:rsid w:val="00A43781"/>
    <w:rsid w:val="00A43C7F"/>
    <w:rsid w:val="00A51153"/>
    <w:rsid w:val="00A5224E"/>
    <w:rsid w:val="00A52881"/>
    <w:rsid w:val="00A53895"/>
    <w:rsid w:val="00A539D8"/>
    <w:rsid w:val="00A53F0E"/>
    <w:rsid w:val="00A545E0"/>
    <w:rsid w:val="00A5477F"/>
    <w:rsid w:val="00A56179"/>
    <w:rsid w:val="00A57102"/>
    <w:rsid w:val="00A60B36"/>
    <w:rsid w:val="00A60C33"/>
    <w:rsid w:val="00A60CF0"/>
    <w:rsid w:val="00A6173F"/>
    <w:rsid w:val="00A61D6B"/>
    <w:rsid w:val="00A629B8"/>
    <w:rsid w:val="00A639EE"/>
    <w:rsid w:val="00A66964"/>
    <w:rsid w:val="00A67338"/>
    <w:rsid w:val="00A7051C"/>
    <w:rsid w:val="00A71B63"/>
    <w:rsid w:val="00A740A1"/>
    <w:rsid w:val="00A74DE9"/>
    <w:rsid w:val="00A7586D"/>
    <w:rsid w:val="00A7727A"/>
    <w:rsid w:val="00A772D0"/>
    <w:rsid w:val="00A77DFE"/>
    <w:rsid w:val="00A8461C"/>
    <w:rsid w:val="00A85FF2"/>
    <w:rsid w:val="00A86926"/>
    <w:rsid w:val="00A86FE2"/>
    <w:rsid w:val="00A87461"/>
    <w:rsid w:val="00A8791D"/>
    <w:rsid w:val="00A87E2F"/>
    <w:rsid w:val="00A91D4A"/>
    <w:rsid w:val="00A9212F"/>
    <w:rsid w:val="00A921CC"/>
    <w:rsid w:val="00A93286"/>
    <w:rsid w:val="00A9330A"/>
    <w:rsid w:val="00A95987"/>
    <w:rsid w:val="00A96953"/>
    <w:rsid w:val="00A972CB"/>
    <w:rsid w:val="00A9780D"/>
    <w:rsid w:val="00A97B88"/>
    <w:rsid w:val="00AA1320"/>
    <w:rsid w:val="00AA31A2"/>
    <w:rsid w:val="00AA3E14"/>
    <w:rsid w:val="00AA44F6"/>
    <w:rsid w:val="00AA5B38"/>
    <w:rsid w:val="00AA6163"/>
    <w:rsid w:val="00AA6BAA"/>
    <w:rsid w:val="00AB1734"/>
    <w:rsid w:val="00AB1D4B"/>
    <w:rsid w:val="00AB351A"/>
    <w:rsid w:val="00AB52E1"/>
    <w:rsid w:val="00AB7F8B"/>
    <w:rsid w:val="00AC016B"/>
    <w:rsid w:val="00AC05E3"/>
    <w:rsid w:val="00AC1792"/>
    <w:rsid w:val="00AC20A2"/>
    <w:rsid w:val="00AC528C"/>
    <w:rsid w:val="00AC5BEA"/>
    <w:rsid w:val="00AC6349"/>
    <w:rsid w:val="00AD1B37"/>
    <w:rsid w:val="00AD1D0D"/>
    <w:rsid w:val="00AD36CC"/>
    <w:rsid w:val="00AD4315"/>
    <w:rsid w:val="00AD5A7B"/>
    <w:rsid w:val="00AE0502"/>
    <w:rsid w:val="00AE0B9F"/>
    <w:rsid w:val="00AE6520"/>
    <w:rsid w:val="00AE70E9"/>
    <w:rsid w:val="00AE7758"/>
    <w:rsid w:val="00AF195A"/>
    <w:rsid w:val="00AF1F73"/>
    <w:rsid w:val="00AF2765"/>
    <w:rsid w:val="00AF3B75"/>
    <w:rsid w:val="00AF4335"/>
    <w:rsid w:val="00AF5ED4"/>
    <w:rsid w:val="00AF7AC3"/>
    <w:rsid w:val="00AF7B02"/>
    <w:rsid w:val="00B0150A"/>
    <w:rsid w:val="00B018A6"/>
    <w:rsid w:val="00B01E39"/>
    <w:rsid w:val="00B02122"/>
    <w:rsid w:val="00B03EF9"/>
    <w:rsid w:val="00B047E7"/>
    <w:rsid w:val="00B10F26"/>
    <w:rsid w:val="00B143E1"/>
    <w:rsid w:val="00B155A5"/>
    <w:rsid w:val="00B17D93"/>
    <w:rsid w:val="00B204A0"/>
    <w:rsid w:val="00B211DA"/>
    <w:rsid w:val="00B21DB4"/>
    <w:rsid w:val="00B24D9C"/>
    <w:rsid w:val="00B26D04"/>
    <w:rsid w:val="00B275C1"/>
    <w:rsid w:val="00B2777E"/>
    <w:rsid w:val="00B27E21"/>
    <w:rsid w:val="00B33118"/>
    <w:rsid w:val="00B349A0"/>
    <w:rsid w:val="00B400BE"/>
    <w:rsid w:val="00B41CE5"/>
    <w:rsid w:val="00B423EA"/>
    <w:rsid w:val="00B42A5B"/>
    <w:rsid w:val="00B43299"/>
    <w:rsid w:val="00B4333D"/>
    <w:rsid w:val="00B4344E"/>
    <w:rsid w:val="00B439A4"/>
    <w:rsid w:val="00B448EF"/>
    <w:rsid w:val="00B46179"/>
    <w:rsid w:val="00B46736"/>
    <w:rsid w:val="00B507AD"/>
    <w:rsid w:val="00B52CDD"/>
    <w:rsid w:val="00B53AFD"/>
    <w:rsid w:val="00B54C8B"/>
    <w:rsid w:val="00B54FB6"/>
    <w:rsid w:val="00B562C6"/>
    <w:rsid w:val="00B562D4"/>
    <w:rsid w:val="00B56903"/>
    <w:rsid w:val="00B60300"/>
    <w:rsid w:val="00B615EA"/>
    <w:rsid w:val="00B6242B"/>
    <w:rsid w:val="00B628EB"/>
    <w:rsid w:val="00B62D52"/>
    <w:rsid w:val="00B637E5"/>
    <w:rsid w:val="00B64CAD"/>
    <w:rsid w:val="00B64EEB"/>
    <w:rsid w:val="00B71061"/>
    <w:rsid w:val="00B77CFB"/>
    <w:rsid w:val="00B814F7"/>
    <w:rsid w:val="00B81D60"/>
    <w:rsid w:val="00B827BC"/>
    <w:rsid w:val="00B82B7F"/>
    <w:rsid w:val="00B82D76"/>
    <w:rsid w:val="00B8610B"/>
    <w:rsid w:val="00B87446"/>
    <w:rsid w:val="00B87525"/>
    <w:rsid w:val="00B87C04"/>
    <w:rsid w:val="00B91067"/>
    <w:rsid w:val="00B9156A"/>
    <w:rsid w:val="00B91F0B"/>
    <w:rsid w:val="00B955FE"/>
    <w:rsid w:val="00B96694"/>
    <w:rsid w:val="00B969FF"/>
    <w:rsid w:val="00B974BC"/>
    <w:rsid w:val="00BA08BD"/>
    <w:rsid w:val="00BA23C4"/>
    <w:rsid w:val="00BA28A8"/>
    <w:rsid w:val="00BA3CEE"/>
    <w:rsid w:val="00BA4999"/>
    <w:rsid w:val="00BA6F6C"/>
    <w:rsid w:val="00BB4C5D"/>
    <w:rsid w:val="00BB4FD9"/>
    <w:rsid w:val="00BB5CC4"/>
    <w:rsid w:val="00BB5F87"/>
    <w:rsid w:val="00BB65E1"/>
    <w:rsid w:val="00BB6619"/>
    <w:rsid w:val="00BB772A"/>
    <w:rsid w:val="00BC08DB"/>
    <w:rsid w:val="00BC0C22"/>
    <w:rsid w:val="00BC1182"/>
    <w:rsid w:val="00BC370D"/>
    <w:rsid w:val="00BC4EE8"/>
    <w:rsid w:val="00BC586C"/>
    <w:rsid w:val="00BC7433"/>
    <w:rsid w:val="00BD024B"/>
    <w:rsid w:val="00BD11B8"/>
    <w:rsid w:val="00BD1609"/>
    <w:rsid w:val="00BD17D1"/>
    <w:rsid w:val="00BD3367"/>
    <w:rsid w:val="00BD5648"/>
    <w:rsid w:val="00BD6F9D"/>
    <w:rsid w:val="00BE0458"/>
    <w:rsid w:val="00BE0DE4"/>
    <w:rsid w:val="00BE11B4"/>
    <w:rsid w:val="00BE1E31"/>
    <w:rsid w:val="00BE1E37"/>
    <w:rsid w:val="00BE1E47"/>
    <w:rsid w:val="00BE4509"/>
    <w:rsid w:val="00BE510B"/>
    <w:rsid w:val="00BE532B"/>
    <w:rsid w:val="00BE59E4"/>
    <w:rsid w:val="00BE688E"/>
    <w:rsid w:val="00BF250A"/>
    <w:rsid w:val="00BF2CB6"/>
    <w:rsid w:val="00BF307E"/>
    <w:rsid w:val="00BF3148"/>
    <w:rsid w:val="00BF444A"/>
    <w:rsid w:val="00BF7905"/>
    <w:rsid w:val="00C02F58"/>
    <w:rsid w:val="00C0315B"/>
    <w:rsid w:val="00C05696"/>
    <w:rsid w:val="00C109F4"/>
    <w:rsid w:val="00C10B51"/>
    <w:rsid w:val="00C115FA"/>
    <w:rsid w:val="00C11FDE"/>
    <w:rsid w:val="00C14D28"/>
    <w:rsid w:val="00C14EFA"/>
    <w:rsid w:val="00C15101"/>
    <w:rsid w:val="00C15909"/>
    <w:rsid w:val="00C161B1"/>
    <w:rsid w:val="00C173E4"/>
    <w:rsid w:val="00C2214A"/>
    <w:rsid w:val="00C22CE4"/>
    <w:rsid w:val="00C232A0"/>
    <w:rsid w:val="00C24B46"/>
    <w:rsid w:val="00C25E2A"/>
    <w:rsid w:val="00C269AF"/>
    <w:rsid w:val="00C26E0D"/>
    <w:rsid w:val="00C30ED7"/>
    <w:rsid w:val="00C32314"/>
    <w:rsid w:val="00C344A2"/>
    <w:rsid w:val="00C3470E"/>
    <w:rsid w:val="00C34EE5"/>
    <w:rsid w:val="00C35B40"/>
    <w:rsid w:val="00C35DFB"/>
    <w:rsid w:val="00C362BC"/>
    <w:rsid w:val="00C40017"/>
    <w:rsid w:val="00C40032"/>
    <w:rsid w:val="00C407EF"/>
    <w:rsid w:val="00C40DC4"/>
    <w:rsid w:val="00C453A7"/>
    <w:rsid w:val="00C501C8"/>
    <w:rsid w:val="00C50D72"/>
    <w:rsid w:val="00C51B15"/>
    <w:rsid w:val="00C52204"/>
    <w:rsid w:val="00C5297C"/>
    <w:rsid w:val="00C53869"/>
    <w:rsid w:val="00C53C6E"/>
    <w:rsid w:val="00C53DC8"/>
    <w:rsid w:val="00C54D86"/>
    <w:rsid w:val="00C55520"/>
    <w:rsid w:val="00C5559C"/>
    <w:rsid w:val="00C57C6F"/>
    <w:rsid w:val="00C60136"/>
    <w:rsid w:val="00C601BE"/>
    <w:rsid w:val="00C626E0"/>
    <w:rsid w:val="00C62D2D"/>
    <w:rsid w:val="00C638F3"/>
    <w:rsid w:val="00C648C7"/>
    <w:rsid w:val="00C64E81"/>
    <w:rsid w:val="00C655F5"/>
    <w:rsid w:val="00C65EA2"/>
    <w:rsid w:val="00C66A42"/>
    <w:rsid w:val="00C66ED1"/>
    <w:rsid w:val="00C70BD5"/>
    <w:rsid w:val="00C70EC9"/>
    <w:rsid w:val="00C717F4"/>
    <w:rsid w:val="00C71C12"/>
    <w:rsid w:val="00C72D08"/>
    <w:rsid w:val="00C72F82"/>
    <w:rsid w:val="00C74110"/>
    <w:rsid w:val="00C743D0"/>
    <w:rsid w:val="00C76E75"/>
    <w:rsid w:val="00C77698"/>
    <w:rsid w:val="00C818B7"/>
    <w:rsid w:val="00C825D1"/>
    <w:rsid w:val="00C84609"/>
    <w:rsid w:val="00C84BCA"/>
    <w:rsid w:val="00C86DA9"/>
    <w:rsid w:val="00C87CFE"/>
    <w:rsid w:val="00C907D6"/>
    <w:rsid w:val="00C91E85"/>
    <w:rsid w:val="00C92457"/>
    <w:rsid w:val="00C92DA4"/>
    <w:rsid w:val="00C92F5E"/>
    <w:rsid w:val="00C934F8"/>
    <w:rsid w:val="00C943D6"/>
    <w:rsid w:val="00C946D8"/>
    <w:rsid w:val="00C95D83"/>
    <w:rsid w:val="00C96746"/>
    <w:rsid w:val="00CA0C5D"/>
    <w:rsid w:val="00CA0EB1"/>
    <w:rsid w:val="00CA3772"/>
    <w:rsid w:val="00CA4F74"/>
    <w:rsid w:val="00CA53CB"/>
    <w:rsid w:val="00CA6EC0"/>
    <w:rsid w:val="00CB191E"/>
    <w:rsid w:val="00CB2B4E"/>
    <w:rsid w:val="00CB31FB"/>
    <w:rsid w:val="00CB46E3"/>
    <w:rsid w:val="00CB5D99"/>
    <w:rsid w:val="00CB610D"/>
    <w:rsid w:val="00CB67DB"/>
    <w:rsid w:val="00CC096B"/>
    <w:rsid w:val="00CC1067"/>
    <w:rsid w:val="00CC18A7"/>
    <w:rsid w:val="00CC1F8B"/>
    <w:rsid w:val="00CC3EF5"/>
    <w:rsid w:val="00CC3F72"/>
    <w:rsid w:val="00CC5466"/>
    <w:rsid w:val="00CD0188"/>
    <w:rsid w:val="00CD20BB"/>
    <w:rsid w:val="00CD21CD"/>
    <w:rsid w:val="00CD2AC1"/>
    <w:rsid w:val="00CD3699"/>
    <w:rsid w:val="00CD3E06"/>
    <w:rsid w:val="00CD40E1"/>
    <w:rsid w:val="00CD4B8F"/>
    <w:rsid w:val="00CD4C88"/>
    <w:rsid w:val="00CD636B"/>
    <w:rsid w:val="00CD68BF"/>
    <w:rsid w:val="00CE05D6"/>
    <w:rsid w:val="00CE2E83"/>
    <w:rsid w:val="00CE5359"/>
    <w:rsid w:val="00CE5824"/>
    <w:rsid w:val="00CE7921"/>
    <w:rsid w:val="00CE7F55"/>
    <w:rsid w:val="00CF017C"/>
    <w:rsid w:val="00CF1EA6"/>
    <w:rsid w:val="00CF2921"/>
    <w:rsid w:val="00CF3048"/>
    <w:rsid w:val="00CF3208"/>
    <w:rsid w:val="00CF489A"/>
    <w:rsid w:val="00CF58EE"/>
    <w:rsid w:val="00CF6503"/>
    <w:rsid w:val="00CF685D"/>
    <w:rsid w:val="00CF7A55"/>
    <w:rsid w:val="00CF7DEB"/>
    <w:rsid w:val="00D0088E"/>
    <w:rsid w:val="00D01B22"/>
    <w:rsid w:val="00D02DF3"/>
    <w:rsid w:val="00D04020"/>
    <w:rsid w:val="00D05D5A"/>
    <w:rsid w:val="00D05EB5"/>
    <w:rsid w:val="00D06324"/>
    <w:rsid w:val="00D06E14"/>
    <w:rsid w:val="00D12351"/>
    <w:rsid w:val="00D12CA0"/>
    <w:rsid w:val="00D12DB1"/>
    <w:rsid w:val="00D139EB"/>
    <w:rsid w:val="00D150DB"/>
    <w:rsid w:val="00D17070"/>
    <w:rsid w:val="00D17394"/>
    <w:rsid w:val="00D1743F"/>
    <w:rsid w:val="00D175DE"/>
    <w:rsid w:val="00D17AA7"/>
    <w:rsid w:val="00D205C0"/>
    <w:rsid w:val="00D2092C"/>
    <w:rsid w:val="00D226A8"/>
    <w:rsid w:val="00D22F4A"/>
    <w:rsid w:val="00D25D4E"/>
    <w:rsid w:val="00D25E08"/>
    <w:rsid w:val="00D2622B"/>
    <w:rsid w:val="00D276F4"/>
    <w:rsid w:val="00D3057B"/>
    <w:rsid w:val="00D31243"/>
    <w:rsid w:val="00D3215A"/>
    <w:rsid w:val="00D327F8"/>
    <w:rsid w:val="00D33133"/>
    <w:rsid w:val="00D33673"/>
    <w:rsid w:val="00D347BC"/>
    <w:rsid w:val="00D359A0"/>
    <w:rsid w:val="00D408D1"/>
    <w:rsid w:val="00D40A37"/>
    <w:rsid w:val="00D40B17"/>
    <w:rsid w:val="00D41520"/>
    <w:rsid w:val="00D43666"/>
    <w:rsid w:val="00D43CA1"/>
    <w:rsid w:val="00D454AC"/>
    <w:rsid w:val="00D46314"/>
    <w:rsid w:val="00D46642"/>
    <w:rsid w:val="00D467D8"/>
    <w:rsid w:val="00D46EE5"/>
    <w:rsid w:val="00D46F6E"/>
    <w:rsid w:val="00D471FC"/>
    <w:rsid w:val="00D476F5"/>
    <w:rsid w:val="00D47A88"/>
    <w:rsid w:val="00D55552"/>
    <w:rsid w:val="00D55B4E"/>
    <w:rsid w:val="00D561A0"/>
    <w:rsid w:val="00D578F4"/>
    <w:rsid w:val="00D61A21"/>
    <w:rsid w:val="00D620D7"/>
    <w:rsid w:val="00D62F25"/>
    <w:rsid w:val="00D66559"/>
    <w:rsid w:val="00D67A0F"/>
    <w:rsid w:val="00D70F1F"/>
    <w:rsid w:val="00D72695"/>
    <w:rsid w:val="00D73CC7"/>
    <w:rsid w:val="00D74107"/>
    <w:rsid w:val="00D74750"/>
    <w:rsid w:val="00D75FBC"/>
    <w:rsid w:val="00D7773E"/>
    <w:rsid w:val="00D81AD8"/>
    <w:rsid w:val="00D820A3"/>
    <w:rsid w:val="00D820AF"/>
    <w:rsid w:val="00D826B0"/>
    <w:rsid w:val="00D82C11"/>
    <w:rsid w:val="00D843EA"/>
    <w:rsid w:val="00D84AEC"/>
    <w:rsid w:val="00D85AE4"/>
    <w:rsid w:val="00D86C91"/>
    <w:rsid w:val="00D87F7B"/>
    <w:rsid w:val="00D913C4"/>
    <w:rsid w:val="00D92939"/>
    <w:rsid w:val="00D9297F"/>
    <w:rsid w:val="00D9375A"/>
    <w:rsid w:val="00D93EF3"/>
    <w:rsid w:val="00D948EE"/>
    <w:rsid w:val="00D94D07"/>
    <w:rsid w:val="00D95310"/>
    <w:rsid w:val="00D95A2B"/>
    <w:rsid w:val="00D95F64"/>
    <w:rsid w:val="00D96047"/>
    <w:rsid w:val="00D963AA"/>
    <w:rsid w:val="00D96428"/>
    <w:rsid w:val="00D9683C"/>
    <w:rsid w:val="00D973C2"/>
    <w:rsid w:val="00D97887"/>
    <w:rsid w:val="00DA09BB"/>
    <w:rsid w:val="00DA1923"/>
    <w:rsid w:val="00DA1D37"/>
    <w:rsid w:val="00DA27B3"/>
    <w:rsid w:val="00DA2AC5"/>
    <w:rsid w:val="00DA329A"/>
    <w:rsid w:val="00DA3F11"/>
    <w:rsid w:val="00DA4DBA"/>
    <w:rsid w:val="00DA57FD"/>
    <w:rsid w:val="00DA5822"/>
    <w:rsid w:val="00DA60A4"/>
    <w:rsid w:val="00DA6527"/>
    <w:rsid w:val="00DA6F9F"/>
    <w:rsid w:val="00DB1841"/>
    <w:rsid w:val="00DB2531"/>
    <w:rsid w:val="00DB2D51"/>
    <w:rsid w:val="00DB41EA"/>
    <w:rsid w:val="00DB4637"/>
    <w:rsid w:val="00DB4893"/>
    <w:rsid w:val="00DB4D77"/>
    <w:rsid w:val="00DB4FA7"/>
    <w:rsid w:val="00DB5032"/>
    <w:rsid w:val="00DB6E57"/>
    <w:rsid w:val="00DC1204"/>
    <w:rsid w:val="00DC1209"/>
    <w:rsid w:val="00DC2078"/>
    <w:rsid w:val="00DC34D1"/>
    <w:rsid w:val="00DC4113"/>
    <w:rsid w:val="00DC4E36"/>
    <w:rsid w:val="00DC72E3"/>
    <w:rsid w:val="00DC7C86"/>
    <w:rsid w:val="00DD1538"/>
    <w:rsid w:val="00DD3789"/>
    <w:rsid w:val="00DD4B89"/>
    <w:rsid w:val="00DD57FD"/>
    <w:rsid w:val="00DD69BB"/>
    <w:rsid w:val="00DD6C8B"/>
    <w:rsid w:val="00DE02D9"/>
    <w:rsid w:val="00DE03D1"/>
    <w:rsid w:val="00DE0447"/>
    <w:rsid w:val="00DE0D02"/>
    <w:rsid w:val="00DE3DD1"/>
    <w:rsid w:val="00DE55D2"/>
    <w:rsid w:val="00DE762F"/>
    <w:rsid w:val="00DF0D23"/>
    <w:rsid w:val="00DF0E96"/>
    <w:rsid w:val="00DF2826"/>
    <w:rsid w:val="00DF34E7"/>
    <w:rsid w:val="00DF431D"/>
    <w:rsid w:val="00DF4E7C"/>
    <w:rsid w:val="00DF553C"/>
    <w:rsid w:val="00DF73AD"/>
    <w:rsid w:val="00E00EFA"/>
    <w:rsid w:val="00E01626"/>
    <w:rsid w:val="00E10AA6"/>
    <w:rsid w:val="00E10E34"/>
    <w:rsid w:val="00E11213"/>
    <w:rsid w:val="00E12439"/>
    <w:rsid w:val="00E12D23"/>
    <w:rsid w:val="00E15354"/>
    <w:rsid w:val="00E157F1"/>
    <w:rsid w:val="00E1675F"/>
    <w:rsid w:val="00E167E5"/>
    <w:rsid w:val="00E24560"/>
    <w:rsid w:val="00E25430"/>
    <w:rsid w:val="00E255A0"/>
    <w:rsid w:val="00E262EA"/>
    <w:rsid w:val="00E27670"/>
    <w:rsid w:val="00E307BB"/>
    <w:rsid w:val="00E31537"/>
    <w:rsid w:val="00E323F5"/>
    <w:rsid w:val="00E331E0"/>
    <w:rsid w:val="00E345DC"/>
    <w:rsid w:val="00E35B4B"/>
    <w:rsid w:val="00E37288"/>
    <w:rsid w:val="00E37F84"/>
    <w:rsid w:val="00E43278"/>
    <w:rsid w:val="00E4374F"/>
    <w:rsid w:val="00E439A7"/>
    <w:rsid w:val="00E43A1A"/>
    <w:rsid w:val="00E44AD1"/>
    <w:rsid w:val="00E50243"/>
    <w:rsid w:val="00E519D0"/>
    <w:rsid w:val="00E522E7"/>
    <w:rsid w:val="00E52EAF"/>
    <w:rsid w:val="00E56066"/>
    <w:rsid w:val="00E57A96"/>
    <w:rsid w:val="00E60903"/>
    <w:rsid w:val="00E61D29"/>
    <w:rsid w:val="00E630FB"/>
    <w:rsid w:val="00E63222"/>
    <w:rsid w:val="00E64B26"/>
    <w:rsid w:val="00E65065"/>
    <w:rsid w:val="00E652DC"/>
    <w:rsid w:val="00E662A0"/>
    <w:rsid w:val="00E7019B"/>
    <w:rsid w:val="00E71433"/>
    <w:rsid w:val="00E7157D"/>
    <w:rsid w:val="00E71B6F"/>
    <w:rsid w:val="00E722DF"/>
    <w:rsid w:val="00E72F7F"/>
    <w:rsid w:val="00E72FA3"/>
    <w:rsid w:val="00E772A3"/>
    <w:rsid w:val="00E77C9F"/>
    <w:rsid w:val="00E81DDF"/>
    <w:rsid w:val="00E826A8"/>
    <w:rsid w:val="00E84C01"/>
    <w:rsid w:val="00E85FCC"/>
    <w:rsid w:val="00E861AC"/>
    <w:rsid w:val="00E8727A"/>
    <w:rsid w:val="00E9425C"/>
    <w:rsid w:val="00E942A0"/>
    <w:rsid w:val="00E953F4"/>
    <w:rsid w:val="00E9566B"/>
    <w:rsid w:val="00E97292"/>
    <w:rsid w:val="00EA0449"/>
    <w:rsid w:val="00EA1954"/>
    <w:rsid w:val="00EA1DB5"/>
    <w:rsid w:val="00EA1F40"/>
    <w:rsid w:val="00EA404F"/>
    <w:rsid w:val="00EA64FB"/>
    <w:rsid w:val="00EA7F70"/>
    <w:rsid w:val="00EB0A5B"/>
    <w:rsid w:val="00EB17C0"/>
    <w:rsid w:val="00EB1DB6"/>
    <w:rsid w:val="00EB2523"/>
    <w:rsid w:val="00EB31B0"/>
    <w:rsid w:val="00EB3AF9"/>
    <w:rsid w:val="00EB3B76"/>
    <w:rsid w:val="00EB4DE8"/>
    <w:rsid w:val="00EB52B5"/>
    <w:rsid w:val="00EB6F49"/>
    <w:rsid w:val="00EC04E7"/>
    <w:rsid w:val="00EC086C"/>
    <w:rsid w:val="00EC1833"/>
    <w:rsid w:val="00EC1D9E"/>
    <w:rsid w:val="00EC386E"/>
    <w:rsid w:val="00EC449E"/>
    <w:rsid w:val="00EC4962"/>
    <w:rsid w:val="00ED09D5"/>
    <w:rsid w:val="00ED28BE"/>
    <w:rsid w:val="00ED3978"/>
    <w:rsid w:val="00ED3D3E"/>
    <w:rsid w:val="00ED5507"/>
    <w:rsid w:val="00ED66A2"/>
    <w:rsid w:val="00EE104D"/>
    <w:rsid w:val="00EE32F6"/>
    <w:rsid w:val="00EE4B4F"/>
    <w:rsid w:val="00EE4BAC"/>
    <w:rsid w:val="00EE59A9"/>
    <w:rsid w:val="00EE6CD1"/>
    <w:rsid w:val="00EE6DE2"/>
    <w:rsid w:val="00EE6EA3"/>
    <w:rsid w:val="00EE7C46"/>
    <w:rsid w:val="00EF29B9"/>
    <w:rsid w:val="00EF2BB9"/>
    <w:rsid w:val="00EF347A"/>
    <w:rsid w:val="00EF351E"/>
    <w:rsid w:val="00EF675F"/>
    <w:rsid w:val="00EF7B29"/>
    <w:rsid w:val="00F00FC5"/>
    <w:rsid w:val="00F02194"/>
    <w:rsid w:val="00F02595"/>
    <w:rsid w:val="00F030AD"/>
    <w:rsid w:val="00F060F1"/>
    <w:rsid w:val="00F06451"/>
    <w:rsid w:val="00F06B20"/>
    <w:rsid w:val="00F07459"/>
    <w:rsid w:val="00F07C15"/>
    <w:rsid w:val="00F1171D"/>
    <w:rsid w:val="00F11891"/>
    <w:rsid w:val="00F12E21"/>
    <w:rsid w:val="00F15ABA"/>
    <w:rsid w:val="00F20263"/>
    <w:rsid w:val="00F2075A"/>
    <w:rsid w:val="00F20C68"/>
    <w:rsid w:val="00F2259D"/>
    <w:rsid w:val="00F236BC"/>
    <w:rsid w:val="00F2371E"/>
    <w:rsid w:val="00F2387A"/>
    <w:rsid w:val="00F24A04"/>
    <w:rsid w:val="00F26490"/>
    <w:rsid w:val="00F325DE"/>
    <w:rsid w:val="00F341BF"/>
    <w:rsid w:val="00F3480F"/>
    <w:rsid w:val="00F35B70"/>
    <w:rsid w:val="00F404E6"/>
    <w:rsid w:val="00F407BE"/>
    <w:rsid w:val="00F41B96"/>
    <w:rsid w:val="00F42F2D"/>
    <w:rsid w:val="00F438CF"/>
    <w:rsid w:val="00F440FC"/>
    <w:rsid w:val="00F44405"/>
    <w:rsid w:val="00F44620"/>
    <w:rsid w:val="00F44F58"/>
    <w:rsid w:val="00F46F80"/>
    <w:rsid w:val="00F5070F"/>
    <w:rsid w:val="00F50B8D"/>
    <w:rsid w:val="00F536A0"/>
    <w:rsid w:val="00F56F92"/>
    <w:rsid w:val="00F571F2"/>
    <w:rsid w:val="00F63418"/>
    <w:rsid w:val="00F638E1"/>
    <w:rsid w:val="00F65CBC"/>
    <w:rsid w:val="00F67CDD"/>
    <w:rsid w:val="00F7004D"/>
    <w:rsid w:val="00F705FE"/>
    <w:rsid w:val="00F74A6C"/>
    <w:rsid w:val="00F74BC9"/>
    <w:rsid w:val="00F76017"/>
    <w:rsid w:val="00F76FB1"/>
    <w:rsid w:val="00F76FFC"/>
    <w:rsid w:val="00F7776C"/>
    <w:rsid w:val="00F77B5E"/>
    <w:rsid w:val="00F77F2C"/>
    <w:rsid w:val="00F8070A"/>
    <w:rsid w:val="00F825E9"/>
    <w:rsid w:val="00F8269A"/>
    <w:rsid w:val="00F82864"/>
    <w:rsid w:val="00F83817"/>
    <w:rsid w:val="00F84369"/>
    <w:rsid w:val="00F84E4C"/>
    <w:rsid w:val="00F859BA"/>
    <w:rsid w:val="00F85A5C"/>
    <w:rsid w:val="00F867F2"/>
    <w:rsid w:val="00F86B99"/>
    <w:rsid w:val="00F87E0F"/>
    <w:rsid w:val="00F91F1E"/>
    <w:rsid w:val="00F92025"/>
    <w:rsid w:val="00F9331C"/>
    <w:rsid w:val="00F9577F"/>
    <w:rsid w:val="00F968B2"/>
    <w:rsid w:val="00F96A61"/>
    <w:rsid w:val="00FA0B2F"/>
    <w:rsid w:val="00FA0BAB"/>
    <w:rsid w:val="00FA1EE6"/>
    <w:rsid w:val="00FA45E0"/>
    <w:rsid w:val="00FA4E15"/>
    <w:rsid w:val="00FA56C4"/>
    <w:rsid w:val="00FA73C4"/>
    <w:rsid w:val="00FB12B8"/>
    <w:rsid w:val="00FB2B60"/>
    <w:rsid w:val="00FB52E2"/>
    <w:rsid w:val="00FB53EB"/>
    <w:rsid w:val="00FB7B6B"/>
    <w:rsid w:val="00FC0921"/>
    <w:rsid w:val="00FC579C"/>
    <w:rsid w:val="00FC6972"/>
    <w:rsid w:val="00FD04EE"/>
    <w:rsid w:val="00FD1095"/>
    <w:rsid w:val="00FD4318"/>
    <w:rsid w:val="00FD46D0"/>
    <w:rsid w:val="00FE1C04"/>
    <w:rsid w:val="00FE2257"/>
    <w:rsid w:val="00FE2E90"/>
    <w:rsid w:val="00FE702B"/>
    <w:rsid w:val="00FF0775"/>
    <w:rsid w:val="00FF089F"/>
    <w:rsid w:val="00FF0EC8"/>
    <w:rsid w:val="00FF1D7F"/>
    <w:rsid w:val="00FF2168"/>
    <w:rsid w:val="00FF27E3"/>
    <w:rsid w:val="00FF2AAA"/>
    <w:rsid w:val="00FF2E0B"/>
    <w:rsid w:val="00FF307C"/>
    <w:rsid w:val="00FF3F1F"/>
    <w:rsid w:val="00FF4A6E"/>
    <w:rsid w:val="00FF4D22"/>
    <w:rsid w:val="00FF4E3B"/>
    <w:rsid w:val="00FF5444"/>
    <w:rsid w:val="00FF6D4B"/>
    <w:rsid w:val="00FF78FF"/>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9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2DA"/>
    <w:pPr>
      <w:spacing w:line="360" w:lineRule="auto"/>
      <w:jc w:val="both"/>
    </w:pPr>
    <w:rPr>
      <w:rFonts w:ascii="Arial" w:hAnsi="Arial"/>
      <w:sz w:val="24"/>
      <w:szCs w:val="24"/>
      <w:lang w:bidi="he-IL"/>
    </w:rPr>
  </w:style>
  <w:style w:type="paragraph" w:styleId="berschrift1">
    <w:name w:val="heading 1"/>
    <w:basedOn w:val="Standard"/>
    <w:next w:val="Standard"/>
    <w:qFormat/>
    <w:rsid w:val="00601E50"/>
    <w:pPr>
      <w:keepNext/>
      <w:numPr>
        <w:numId w:val="1"/>
      </w:numPr>
      <w:tabs>
        <w:tab w:val="clear" w:pos="9505"/>
        <w:tab w:val="num" w:pos="432"/>
      </w:tabs>
      <w:spacing w:after="120"/>
      <w:ind w:left="431" w:hanging="431"/>
      <w:outlineLvl w:val="0"/>
    </w:pPr>
    <w:rPr>
      <w:rFonts w:cs="Arial"/>
      <w:b/>
      <w:bCs/>
      <w:kern w:val="32"/>
      <w:szCs w:val="32"/>
    </w:rPr>
  </w:style>
  <w:style w:type="paragraph" w:styleId="berschrift2">
    <w:name w:val="heading 2"/>
    <w:basedOn w:val="Standard"/>
    <w:next w:val="Standard"/>
    <w:qFormat/>
    <w:rsid w:val="00647808"/>
    <w:pPr>
      <w:keepNext/>
      <w:numPr>
        <w:ilvl w:val="1"/>
        <w:numId w:val="1"/>
      </w:numPr>
      <w:spacing w:after="120"/>
      <w:ind w:left="578" w:hanging="578"/>
      <w:outlineLvl w:val="1"/>
    </w:pPr>
    <w:rPr>
      <w:rFonts w:cs="Arial"/>
      <w:bCs/>
      <w:iCs/>
      <w:szCs w:val="28"/>
    </w:rPr>
  </w:style>
  <w:style w:type="paragraph" w:styleId="berschrift3">
    <w:name w:val="heading 3"/>
    <w:basedOn w:val="Standard"/>
    <w:next w:val="Standard"/>
    <w:link w:val="berschrift3Zchn"/>
    <w:qFormat/>
    <w:rsid w:val="00AA6163"/>
    <w:pPr>
      <w:keepNext/>
      <w:numPr>
        <w:ilvl w:val="2"/>
        <w:numId w:val="1"/>
      </w:numPr>
      <w:spacing w:after="120"/>
      <w:outlineLvl w:val="2"/>
    </w:pPr>
    <w:rPr>
      <w:rFonts w:cs="Arial"/>
      <w:bCs/>
      <w:szCs w:val="26"/>
    </w:rPr>
  </w:style>
  <w:style w:type="paragraph" w:styleId="berschrift4">
    <w:name w:val="heading 4"/>
    <w:basedOn w:val="Standard"/>
    <w:next w:val="Standard"/>
    <w:qFormat/>
    <w:rsid w:val="00805ED1"/>
    <w:pPr>
      <w:keepNext/>
      <w:numPr>
        <w:ilvl w:val="3"/>
        <w:numId w:val="1"/>
      </w:numPr>
      <w:spacing w:before="240" w:after="120"/>
      <w:ind w:left="862" w:hanging="862"/>
      <w:outlineLvl w:val="3"/>
    </w:pPr>
    <w:rPr>
      <w:b/>
      <w:bCs/>
    </w:rPr>
  </w:style>
  <w:style w:type="paragraph" w:styleId="berschrift5">
    <w:name w:val="heading 5"/>
    <w:basedOn w:val="Standard"/>
    <w:next w:val="Standard"/>
    <w:qFormat/>
    <w:rsid w:val="005961D6"/>
    <w:pPr>
      <w:numPr>
        <w:ilvl w:val="4"/>
        <w:numId w:val="1"/>
      </w:numPr>
      <w:spacing w:before="240" w:after="60"/>
      <w:outlineLvl w:val="4"/>
    </w:pPr>
    <w:rPr>
      <w:b/>
      <w:bCs/>
      <w:i/>
      <w:iCs/>
      <w:sz w:val="26"/>
      <w:szCs w:val="26"/>
    </w:rPr>
  </w:style>
  <w:style w:type="paragraph" w:styleId="berschrift6">
    <w:name w:val="heading 6"/>
    <w:basedOn w:val="Standard"/>
    <w:next w:val="Standard"/>
    <w:qFormat/>
    <w:rsid w:val="005961D6"/>
    <w:pPr>
      <w:numPr>
        <w:ilvl w:val="5"/>
        <w:numId w:val="1"/>
      </w:numPr>
      <w:spacing w:before="240" w:after="60"/>
      <w:outlineLvl w:val="5"/>
    </w:pPr>
    <w:rPr>
      <w:b/>
      <w:bCs/>
      <w:sz w:val="22"/>
      <w:szCs w:val="22"/>
    </w:rPr>
  </w:style>
  <w:style w:type="paragraph" w:styleId="berschrift7">
    <w:name w:val="heading 7"/>
    <w:basedOn w:val="Standard"/>
    <w:next w:val="Standard"/>
    <w:qFormat/>
    <w:rsid w:val="005961D6"/>
    <w:pPr>
      <w:numPr>
        <w:ilvl w:val="6"/>
        <w:numId w:val="1"/>
      </w:numPr>
      <w:spacing w:before="240" w:after="60"/>
      <w:outlineLvl w:val="6"/>
    </w:pPr>
  </w:style>
  <w:style w:type="paragraph" w:styleId="berschrift8">
    <w:name w:val="heading 8"/>
    <w:basedOn w:val="Standard"/>
    <w:next w:val="Standard"/>
    <w:qFormat/>
    <w:rsid w:val="005961D6"/>
    <w:pPr>
      <w:numPr>
        <w:ilvl w:val="7"/>
        <w:numId w:val="1"/>
      </w:numPr>
      <w:spacing w:before="240" w:after="60"/>
      <w:outlineLvl w:val="7"/>
    </w:pPr>
    <w:rPr>
      <w:i/>
      <w:iCs/>
    </w:rPr>
  </w:style>
  <w:style w:type="paragraph" w:styleId="berschrift9">
    <w:name w:val="heading 9"/>
    <w:basedOn w:val="Standard"/>
    <w:next w:val="Standard"/>
    <w:qFormat/>
    <w:rsid w:val="005961D6"/>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schriftungen">
    <w:name w:val="Beschriftungen"/>
    <w:basedOn w:val="Beschriftung"/>
    <w:rsid w:val="005961D6"/>
    <w:pPr>
      <w:spacing w:after="240"/>
      <w:contextualSpacing/>
      <w:jc w:val="center"/>
    </w:pPr>
    <w:rPr>
      <w:b/>
      <w:i/>
    </w:rPr>
  </w:style>
  <w:style w:type="paragraph" w:styleId="Kopfzeile">
    <w:name w:val="header"/>
    <w:basedOn w:val="Standard"/>
    <w:rsid w:val="005961D6"/>
    <w:pPr>
      <w:tabs>
        <w:tab w:val="center" w:pos="4536"/>
        <w:tab w:val="right" w:pos="9072"/>
      </w:tabs>
    </w:pPr>
  </w:style>
  <w:style w:type="paragraph" w:styleId="Beschriftung">
    <w:name w:val="caption"/>
    <w:basedOn w:val="Standard"/>
    <w:next w:val="Standard"/>
    <w:qFormat/>
    <w:rsid w:val="00BD024B"/>
    <w:pPr>
      <w:spacing w:before="120" w:after="60" w:line="240" w:lineRule="auto"/>
    </w:pPr>
    <w:rPr>
      <w:bCs/>
      <w:sz w:val="22"/>
      <w:szCs w:val="20"/>
      <w:lang w:val="de-DE"/>
    </w:rPr>
  </w:style>
  <w:style w:type="paragraph" w:styleId="Fuzeile">
    <w:name w:val="footer"/>
    <w:basedOn w:val="Standard"/>
    <w:link w:val="FuzeileZchn"/>
    <w:uiPriority w:val="99"/>
    <w:rsid w:val="005961D6"/>
    <w:pPr>
      <w:tabs>
        <w:tab w:val="center" w:pos="4536"/>
        <w:tab w:val="right" w:pos="9072"/>
      </w:tabs>
    </w:pPr>
  </w:style>
  <w:style w:type="character" w:styleId="Seitenzahl">
    <w:name w:val="page number"/>
    <w:basedOn w:val="Absatz-Standardschriftart"/>
    <w:rsid w:val="005961D6"/>
  </w:style>
  <w:style w:type="paragraph" w:styleId="Verzeichnis1">
    <w:name w:val="toc 1"/>
    <w:basedOn w:val="Standard"/>
    <w:next w:val="Standard"/>
    <w:autoRedefine/>
    <w:uiPriority w:val="39"/>
    <w:rsid w:val="005961D6"/>
    <w:pPr>
      <w:tabs>
        <w:tab w:val="left" w:pos="426"/>
        <w:tab w:val="right" w:leader="dot" w:pos="8777"/>
      </w:tabs>
      <w:spacing w:before="120" w:after="120"/>
      <w:jc w:val="left"/>
    </w:pPr>
    <w:rPr>
      <w:b/>
      <w:bCs/>
      <w:noProof/>
    </w:rPr>
  </w:style>
  <w:style w:type="paragraph" w:styleId="Verzeichnis2">
    <w:name w:val="toc 2"/>
    <w:basedOn w:val="Standard"/>
    <w:next w:val="Standard"/>
    <w:autoRedefine/>
    <w:uiPriority w:val="39"/>
    <w:rsid w:val="005961D6"/>
    <w:pPr>
      <w:tabs>
        <w:tab w:val="left" w:pos="993"/>
        <w:tab w:val="right" w:leader="dot" w:pos="8777"/>
      </w:tabs>
      <w:ind w:left="426"/>
      <w:jc w:val="left"/>
    </w:pPr>
    <w:rPr>
      <w:noProof/>
    </w:rPr>
  </w:style>
  <w:style w:type="paragraph" w:styleId="Verzeichnis3">
    <w:name w:val="toc 3"/>
    <w:basedOn w:val="Standard"/>
    <w:next w:val="Standard"/>
    <w:autoRedefine/>
    <w:uiPriority w:val="39"/>
    <w:rsid w:val="005961D6"/>
    <w:pPr>
      <w:tabs>
        <w:tab w:val="left" w:pos="1701"/>
        <w:tab w:val="right" w:leader="dot" w:pos="8777"/>
      </w:tabs>
      <w:ind w:left="993"/>
      <w:jc w:val="left"/>
    </w:pPr>
    <w:rPr>
      <w:iCs/>
      <w:noProof/>
    </w:rPr>
  </w:style>
  <w:style w:type="paragraph" w:styleId="Verzeichnis4">
    <w:name w:val="toc 4"/>
    <w:basedOn w:val="Standard"/>
    <w:next w:val="Standard"/>
    <w:autoRedefine/>
    <w:semiHidden/>
    <w:rsid w:val="005961D6"/>
    <w:pPr>
      <w:tabs>
        <w:tab w:val="left" w:pos="2661"/>
        <w:tab w:val="right" w:leader="dot" w:pos="8777"/>
      </w:tabs>
      <w:ind w:left="1701"/>
      <w:jc w:val="left"/>
    </w:pPr>
    <w:rPr>
      <w:noProof/>
      <w:szCs w:val="22"/>
    </w:rPr>
  </w:style>
  <w:style w:type="paragraph" w:styleId="Verzeichnis5">
    <w:name w:val="toc 5"/>
    <w:basedOn w:val="Standard"/>
    <w:next w:val="Standard"/>
    <w:autoRedefine/>
    <w:semiHidden/>
    <w:rsid w:val="005961D6"/>
    <w:pPr>
      <w:ind w:left="960"/>
      <w:jc w:val="left"/>
    </w:pPr>
    <w:rPr>
      <w:szCs w:val="21"/>
    </w:rPr>
  </w:style>
  <w:style w:type="paragraph" w:styleId="Verzeichnis6">
    <w:name w:val="toc 6"/>
    <w:basedOn w:val="Standard"/>
    <w:next w:val="Standard"/>
    <w:autoRedefine/>
    <w:semiHidden/>
    <w:rsid w:val="005961D6"/>
    <w:pPr>
      <w:ind w:left="1200"/>
      <w:jc w:val="left"/>
    </w:pPr>
    <w:rPr>
      <w:szCs w:val="21"/>
    </w:rPr>
  </w:style>
  <w:style w:type="paragraph" w:styleId="Verzeichnis7">
    <w:name w:val="toc 7"/>
    <w:basedOn w:val="Standard"/>
    <w:next w:val="Standard"/>
    <w:autoRedefine/>
    <w:semiHidden/>
    <w:rsid w:val="005961D6"/>
    <w:pPr>
      <w:ind w:left="1440"/>
      <w:jc w:val="left"/>
    </w:pPr>
    <w:rPr>
      <w:szCs w:val="21"/>
    </w:rPr>
  </w:style>
  <w:style w:type="paragraph" w:styleId="Verzeichnis8">
    <w:name w:val="toc 8"/>
    <w:basedOn w:val="Standard"/>
    <w:next w:val="Standard"/>
    <w:autoRedefine/>
    <w:semiHidden/>
    <w:rsid w:val="005961D6"/>
    <w:pPr>
      <w:ind w:left="1680"/>
      <w:jc w:val="left"/>
    </w:pPr>
    <w:rPr>
      <w:szCs w:val="21"/>
    </w:rPr>
  </w:style>
  <w:style w:type="paragraph" w:styleId="Verzeichnis9">
    <w:name w:val="toc 9"/>
    <w:basedOn w:val="Standard"/>
    <w:next w:val="Standard"/>
    <w:autoRedefine/>
    <w:semiHidden/>
    <w:rsid w:val="005961D6"/>
    <w:pPr>
      <w:ind w:left="1920"/>
      <w:jc w:val="left"/>
    </w:pPr>
    <w:rPr>
      <w:szCs w:val="21"/>
    </w:rPr>
  </w:style>
  <w:style w:type="character" w:styleId="Hyperlink">
    <w:name w:val="Hyperlink"/>
    <w:basedOn w:val="Absatz-Standardschriftart"/>
    <w:uiPriority w:val="99"/>
    <w:rsid w:val="005961D6"/>
    <w:rPr>
      <w:color w:val="0000FF"/>
      <w:u w:val="single"/>
    </w:rPr>
  </w:style>
  <w:style w:type="paragraph" w:styleId="Abbildungsverzeichnis">
    <w:name w:val="table of figures"/>
    <w:basedOn w:val="Standard"/>
    <w:next w:val="Standard"/>
    <w:uiPriority w:val="99"/>
    <w:rsid w:val="005961D6"/>
  </w:style>
  <w:style w:type="paragraph" w:styleId="Textkrper">
    <w:name w:val="Body Text"/>
    <w:basedOn w:val="Standard"/>
    <w:rsid w:val="005961D6"/>
    <w:pPr>
      <w:jc w:val="center"/>
    </w:pPr>
    <w:rPr>
      <w:b/>
      <w:bCs/>
      <w:sz w:val="40"/>
    </w:rPr>
  </w:style>
  <w:style w:type="paragraph" w:customStyle="1" w:styleId="Abbildung">
    <w:name w:val="Abbildung"/>
    <w:basedOn w:val="Standard"/>
    <w:next w:val="Standard"/>
    <w:rsid w:val="005961D6"/>
    <w:pPr>
      <w:spacing w:after="120" w:line="240" w:lineRule="auto"/>
      <w:jc w:val="center"/>
    </w:pPr>
    <w:rPr>
      <w:sz w:val="22"/>
      <w:szCs w:val="22"/>
      <w:lang w:val="de-DE" w:eastAsia="de-DE" w:bidi="ar-SA"/>
    </w:rPr>
  </w:style>
  <w:style w:type="paragraph" w:styleId="Index6">
    <w:name w:val="index 6"/>
    <w:basedOn w:val="Standard"/>
    <w:next w:val="Standard"/>
    <w:autoRedefine/>
    <w:semiHidden/>
    <w:rsid w:val="005961D6"/>
    <w:pPr>
      <w:ind w:left="1440" w:hanging="240"/>
    </w:pPr>
  </w:style>
  <w:style w:type="paragraph" w:styleId="Listennummer">
    <w:name w:val="List Number"/>
    <w:basedOn w:val="Standard"/>
    <w:rsid w:val="005961D6"/>
    <w:pPr>
      <w:numPr>
        <w:numId w:val="6"/>
      </w:numPr>
      <w:spacing w:after="120" w:line="240" w:lineRule="auto"/>
      <w:ind w:left="568" w:hanging="284"/>
    </w:pPr>
    <w:rPr>
      <w:sz w:val="22"/>
      <w:szCs w:val="22"/>
      <w:lang w:val="de-DE" w:eastAsia="de-DE" w:bidi="ar-SA"/>
    </w:rPr>
  </w:style>
  <w:style w:type="paragraph" w:customStyle="1" w:styleId="berschrift1a">
    <w:name w:val="Überschrift 1a"/>
    <w:basedOn w:val="berschrift1"/>
    <w:rsid w:val="005961D6"/>
    <w:pPr>
      <w:numPr>
        <w:numId w:val="0"/>
      </w:numPr>
      <w:spacing w:before="120"/>
    </w:pPr>
  </w:style>
  <w:style w:type="paragraph" w:styleId="Textkrper2">
    <w:name w:val="Body Text 2"/>
    <w:basedOn w:val="Standard"/>
    <w:rsid w:val="005961D6"/>
    <w:pPr>
      <w:jc w:val="center"/>
    </w:pPr>
  </w:style>
  <w:style w:type="paragraph" w:styleId="Funotentext">
    <w:name w:val="footnote text"/>
    <w:basedOn w:val="Standard"/>
    <w:link w:val="FunotentextZchn"/>
    <w:semiHidden/>
    <w:rsid w:val="00BD1609"/>
    <w:pPr>
      <w:keepLines/>
      <w:tabs>
        <w:tab w:val="left" w:pos="454"/>
      </w:tabs>
      <w:spacing w:before="120" w:after="120" w:line="240" w:lineRule="auto"/>
      <w:ind w:left="170" w:hanging="170"/>
    </w:pPr>
    <w:rPr>
      <w:sz w:val="20"/>
      <w:szCs w:val="20"/>
    </w:rPr>
  </w:style>
  <w:style w:type="character" w:styleId="Funotenzeichen">
    <w:name w:val="footnote reference"/>
    <w:basedOn w:val="Absatz-Standardschriftart"/>
    <w:uiPriority w:val="99"/>
    <w:semiHidden/>
    <w:rsid w:val="005961D6"/>
    <w:rPr>
      <w:vertAlign w:val="superscript"/>
    </w:rPr>
  </w:style>
  <w:style w:type="paragraph" w:customStyle="1" w:styleId="Quelle">
    <w:name w:val="Quelle"/>
    <w:basedOn w:val="Beschriftung"/>
    <w:rsid w:val="005961D6"/>
    <w:pPr>
      <w:spacing w:before="60"/>
    </w:pPr>
    <w:rPr>
      <w:sz w:val="20"/>
    </w:rPr>
  </w:style>
  <w:style w:type="paragraph" w:customStyle="1" w:styleId="Grafik">
    <w:name w:val="Grafik"/>
    <w:basedOn w:val="Standard"/>
    <w:rsid w:val="005961D6"/>
    <w:pPr>
      <w:pBdr>
        <w:top w:val="single" w:sz="4" w:space="1" w:color="auto"/>
        <w:bottom w:val="single" w:sz="4" w:space="1" w:color="auto"/>
      </w:pBdr>
      <w:spacing w:line="240" w:lineRule="auto"/>
    </w:pPr>
  </w:style>
  <w:style w:type="character" w:customStyle="1" w:styleId="bold">
    <w:name w:val="bold"/>
    <w:basedOn w:val="Absatz-Standardschriftart"/>
    <w:rsid w:val="00EC386E"/>
  </w:style>
  <w:style w:type="character" w:customStyle="1" w:styleId="s">
    <w:name w:val="s"/>
    <w:basedOn w:val="Absatz-Standardschriftart"/>
    <w:rsid w:val="00EC386E"/>
  </w:style>
  <w:style w:type="paragraph" w:styleId="Sprechblasentext">
    <w:name w:val="Balloon Text"/>
    <w:basedOn w:val="Standard"/>
    <w:link w:val="SprechblasentextZchn"/>
    <w:rsid w:val="004B13F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B13FF"/>
    <w:rPr>
      <w:rFonts w:ascii="Tahoma" w:hAnsi="Tahoma" w:cs="Tahoma"/>
      <w:sz w:val="16"/>
      <w:szCs w:val="16"/>
      <w:lang w:bidi="he-IL"/>
    </w:rPr>
  </w:style>
  <w:style w:type="paragraph" w:styleId="Inhaltsverzeichnisberschrift">
    <w:name w:val="TOC Heading"/>
    <w:basedOn w:val="berschrift1"/>
    <w:next w:val="Standard"/>
    <w:uiPriority w:val="39"/>
    <w:unhideWhenUsed/>
    <w:qFormat/>
    <w:rsid w:val="004D6454"/>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de-DE" w:eastAsia="de-DE" w:bidi="ar-SA"/>
    </w:rPr>
  </w:style>
  <w:style w:type="character" w:styleId="Kommentarzeichen">
    <w:name w:val="annotation reference"/>
    <w:basedOn w:val="Absatz-Standardschriftart"/>
    <w:uiPriority w:val="99"/>
    <w:semiHidden/>
    <w:unhideWhenUsed/>
    <w:rsid w:val="00856DA5"/>
    <w:rPr>
      <w:sz w:val="16"/>
      <w:szCs w:val="16"/>
    </w:rPr>
  </w:style>
  <w:style w:type="paragraph" w:styleId="Kommentartext">
    <w:name w:val="annotation text"/>
    <w:basedOn w:val="Standard"/>
    <w:link w:val="KommentartextZchn"/>
    <w:uiPriority w:val="99"/>
    <w:semiHidden/>
    <w:unhideWhenUsed/>
    <w:rsid w:val="00856DA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6DA5"/>
    <w:rPr>
      <w:lang w:bidi="he-IL"/>
    </w:rPr>
  </w:style>
  <w:style w:type="paragraph" w:styleId="Kommentarthema">
    <w:name w:val="annotation subject"/>
    <w:basedOn w:val="Kommentartext"/>
    <w:next w:val="Kommentartext"/>
    <w:link w:val="KommentarthemaZchn"/>
    <w:semiHidden/>
    <w:unhideWhenUsed/>
    <w:rsid w:val="00856DA5"/>
    <w:rPr>
      <w:b/>
      <w:bCs/>
    </w:rPr>
  </w:style>
  <w:style w:type="character" w:customStyle="1" w:styleId="KommentarthemaZchn">
    <w:name w:val="Kommentarthema Zchn"/>
    <w:basedOn w:val="KommentartextZchn"/>
    <w:link w:val="Kommentarthema"/>
    <w:semiHidden/>
    <w:rsid w:val="00856DA5"/>
    <w:rPr>
      <w:b/>
      <w:bCs/>
      <w:lang w:bidi="he-IL"/>
    </w:rPr>
  </w:style>
  <w:style w:type="paragraph" w:styleId="Listenabsatz">
    <w:name w:val="List Paragraph"/>
    <w:basedOn w:val="Standard"/>
    <w:uiPriority w:val="34"/>
    <w:qFormat/>
    <w:rsid w:val="00071403"/>
    <w:pPr>
      <w:ind w:left="720"/>
      <w:contextualSpacing/>
    </w:pPr>
  </w:style>
  <w:style w:type="character" w:customStyle="1" w:styleId="FuzeileZchn">
    <w:name w:val="Fußzeile Zchn"/>
    <w:basedOn w:val="Absatz-Standardschriftart"/>
    <w:link w:val="Fuzeile"/>
    <w:uiPriority w:val="99"/>
    <w:rsid w:val="001116F2"/>
    <w:rPr>
      <w:rFonts w:ascii="Arial" w:hAnsi="Arial"/>
      <w:sz w:val="24"/>
      <w:szCs w:val="24"/>
      <w:lang w:bidi="he-IL"/>
    </w:rPr>
  </w:style>
  <w:style w:type="paragraph" w:styleId="KeinLeerraum">
    <w:name w:val="No Spacing"/>
    <w:link w:val="KeinLeerraumZchn"/>
    <w:uiPriority w:val="1"/>
    <w:qFormat/>
    <w:rsid w:val="00AB1D4B"/>
    <w:rPr>
      <w:rFonts w:asciiTheme="minorHAnsi" w:eastAsiaTheme="minorHAnsi" w:hAnsiTheme="minorHAnsi" w:cstheme="minorBidi"/>
      <w:sz w:val="22"/>
      <w:szCs w:val="22"/>
      <w:lang w:eastAsia="en-US"/>
    </w:rPr>
  </w:style>
  <w:style w:type="character" w:customStyle="1" w:styleId="FunotentextZchn">
    <w:name w:val="Fußnotentext Zchn"/>
    <w:basedOn w:val="Absatz-Standardschriftart"/>
    <w:link w:val="Funotentext"/>
    <w:semiHidden/>
    <w:rsid w:val="00BD1609"/>
    <w:rPr>
      <w:rFonts w:ascii="Arial" w:hAnsi="Arial"/>
      <w:lang w:bidi="he-IL"/>
    </w:rPr>
  </w:style>
  <w:style w:type="character" w:customStyle="1" w:styleId="KeinLeerraumZchn">
    <w:name w:val="Kein Leerraum Zchn"/>
    <w:basedOn w:val="Absatz-Standardschriftart"/>
    <w:link w:val="KeinLeerraum"/>
    <w:uiPriority w:val="1"/>
    <w:rsid w:val="00AB1D4B"/>
    <w:rPr>
      <w:rFonts w:asciiTheme="minorHAnsi" w:eastAsiaTheme="minorHAnsi" w:hAnsiTheme="minorHAnsi" w:cstheme="minorBidi"/>
      <w:sz w:val="22"/>
      <w:szCs w:val="22"/>
      <w:lang w:eastAsia="en-US"/>
    </w:rPr>
  </w:style>
  <w:style w:type="table" w:styleId="Tabellenraster">
    <w:name w:val="Table Grid"/>
    <w:basedOn w:val="NormaleTabelle"/>
    <w:uiPriority w:val="59"/>
    <w:rsid w:val="00AB1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semiHidden/>
    <w:unhideWhenUsed/>
    <w:rsid w:val="004D3FCE"/>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F685D"/>
    <w:rPr>
      <w:color w:val="605E5C"/>
      <w:shd w:val="clear" w:color="auto" w:fill="E1DFDD"/>
    </w:rPr>
  </w:style>
  <w:style w:type="character" w:customStyle="1" w:styleId="berschrift3Zchn">
    <w:name w:val="Überschrift 3 Zchn"/>
    <w:basedOn w:val="Absatz-Standardschriftart"/>
    <w:link w:val="berschrift3"/>
    <w:rsid w:val="00AA6163"/>
    <w:rPr>
      <w:rFonts w:ascii="Arial" w:hAnsi="Arial" w:cs="Arial"/>
      <w:bCs/>
      <w:sz w:val="24"/>
      <w:szCs w:val="26"/>
      <w:lang w:bidi="he-IL"/>
    </w:rPr>
  </w:style>
  <w:style w:type="character" w:styleId="Fett">
    <w:name w:val="Strong"/>
    <w:basedOn w:val="Absatz-Standardschriftart"/>
    <w:qFormat/>
    <w:rsid w:val="00AF5ED4"/>
    <w:rPr>
      <w:b/>
      <w:bCs/>
    </w:rPr>
  </w:style>
  <w:style w:type="character" w:styleId="Hervorhebung">
    <w:name w:val="Emphasis"/>
    <w:aliases w:val="Kursiv"/>
    <w:basedOn w:val="Absatz-Standardschriftart"/>
    <w:qFormat/>
    <w:rsid w:val="00AF5ED4"/>
    <w:rPr>
      <w:i/>
      <w:iCs/>
    </w:rPr>
  </w:style>
  <w:style w:type="paragraph" w:styleId="Titel">
    <w:name w:val="Title"/>
    <w:basedOn w:val="Standard"/>
    <w:next w:val="Standard"/>
    <w:link w:val="TitelZchn"/>
    <w:rsid w:val="00AF5E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AF5ED4"/>
    <w:rPr>
      <w:rFonts w:asciiTheme="majorHAnsi" w:eastAsiaTheme="majorEastAsia" w:hAnsiTheme="majorHAnsi" w:cstheme="majorBidi"/>
      <w:color w:val="17365D" w:themeColor="text2" w:themeShade="BF"/>
      <w:spacing w:val="5"/>
      <w:kern w:val="28"/>
      <w:sz w:val="52"/>
      <w:szCs w:val="52"/>
      <w:lang w:bidi="he-IL"/>
    </w:rPr>
  </w:style>
  <w:style w:type="paragraph" w:customStyle="1" w:styleId="Default">
    <w:name w:val="Default"/>
    <w:rsid w:val="00BE0458"/>
    <w:pPr>
      <w:autoSpaceDE w:val="0"/>
      <w:autoSpaceDN w:val="0"/>
      <w:adjustRightInd w:val="0"/>
    </w:pPr>
    <w:rPr>
      <w:rFonts w:ascii="Calibri" w:hAnsi="Calibri" w:cs="Calibri"/>
      <w:color w:val="000000"/>
      <w:sz w:val="24"/>
      <w:szCs w:val="24"/>
    </w:rPr>
  </w:style>
  <w:style w:type="paragraph" w:customStyle="1" w:styleId="Funote">
    <w:name w:val="Fußnote"/>
    <w:basedOn w:val="Funotentext"/>
    <w:link w:val="FunoteZchn"/>
    <w:qFormat/>
    <w:rsid w:val="004B7445"/>
    <w:pPr>
      <w:ind w:left="113" w:hanging="113"/>
    </w:pPr>
  </w:style>
  <w:style w:type="paragraph" w:customStyle="1" w:styleId="LiteraturimVerzeichnis">
    <w:name w:val="Literatur (im Verzeichnis)"/>
    <w:basedOn w:val="Standard"/>
    <w:link w:val="LiteraturimVerzeichnisZchn"/>
    <w:qFormat/>
    <w:rsid w:val="000F1A5B"/>
    <w:pPr>
      <w:jc w:val="left"/>
    </w:pPr>
  </w:style>
  <w:style w:type="character" w:customStyle="1" w:styleId="FunoteZchn">
    <w:name w:val="Fußnote Zchn"/>
    <w:basedOn w:val="FunotentextZchn"/>
    <w:link w:val="Funote"/>
    <w:rsid w:val="004B7445"/>
    <w:rPr>
      <w:rFonts w:ascii="Arial" w:hAnsi="Arial"/>
      <w:lang w:bidi="he-IL"/>
    </w:rPr>
  </w:style>
  <w:style w:type="character" w:customStyle="1" w:styleId="LiteraturimVerzeichnisZchn">
    <w:name w:val="Literatur (im Verzeichnis) Zchn"/>
    <w:basedOn w:val="Absatz-Standardschriftart"/>
    <w:link w:val="LiteraturimVerzeichnis"/>
    <w:rsid w:val="000F1A5B"/>
    <w:rPr>
      <w:rFonts w:ascii="Arial" w:hAnsi="Arial"/>
      <w:sz w:val="24"/>
      <w:szCs w:val="24"/>
      <w:lang w:bidi="he-IL"/>
    </w:rPr>
  </w:style>
  <w:style w:type="paragraph" w:styleId="StandardWeb">
    <w:name w:val="Normal (Web)"/>
    <w:basedOn w:val="Standard"/>
    <w:uiPriority w:val="99"/>
    <w:semiHidden/>
    <w:unhideWhenUsed/>
    <w:rsid w:val="00050015"/>
    <w:pPr>
      <w:spacing w:before="100" w:beforeAutospacing="1" w:after="100" w:afterAutospacing="1" w:line="240" w:lineRule="auto"/>
      <w:jc w:val="left"/>
    </w:pPr>
    <w:rPr>
      <w:rFonts w:ascii="Times New Roman" w:eastAsiaTheme="minorEastAsia"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2DA"/>
    <w:pPr>
      <w:spacing w:line="360" w:lineRule="auto"/>
      <w:jc w:val="both"/>
    </w:pPr>
    <w:rPr>
      <w:rFonts w:ascii="Arial" w:hAnsi="Arial"/>
      <w:sz w:val="24"/>
      <w:szCs w:val="24"/>
      <w:lang w:bidi="he-IL"/>
    </w:rPr>
  </w:style>
  <w:style w:type="paragraph" w:styleId="berschrift1">
    <w:name w:val="heading 1"/>
    <w:basedOn w:val="Standard"/>
    <w:next w:val="Standard"/>
    <w:qFormat/>
    <w:rsid w:val="00601E50"/>
    <w:pPr>
      <w:keepNext/>
      <w:numPr>
        <w:numId w:val="1"/>
      </w:numPr>
      <w:tabs>
        <w:tab w:val="clear" w:pos="9505"/>
        <w:tab w:val="num" w:pos="432"/>
      </w:tabs>
      <w:spacing w:after="120"/>
      <w:ind w:left="431" w:hanging="431"/>
      <w:outlineLvl w:val="0"/>
    </w:pPr>
    <w:rPr>
      <w:rFonts w:cs="Arial"/>
      <w:b/>
      <w:bCs/>
      <w:kern w:val="32"/>
      <w:szCs w:val="32"/>
    </w:rPr>
  </w:style>
  <w:style w:type="paragraph" w:styleId="berschrift2">
    <w:name w:val="heading 2"/>
    <w:basedOn w:val="Standard"/>
    <w:next w:val="Standard"/>
    <w:qFormat/>
    <w:rsid w:val="00647808"/>
    <w:pPr>
      <w:keepNext/>
      <w:numPr>
        <w:ilvl w:val="1"/>
        <w:numId w:val="1"/>
      </w:numPr>
      <w:spacing w:after="120"/>
      <w:ind w:left="578" w:hanging="578"/>
      <w:outlineLvl w:val="1"/>
    </w:pPr>
    <w:rPr>
      <w:rFonts w:cs="Arial"/>
      <w:bCs/>
      <w:iCs/>
      <w:szCs w:val="28"/>
    </w:rPr>
  </w:style>
  <w:style w:type="paragraph" w:styleId="berschrift3">
    <w:name w:val="heading 3"/>
    <w:basedOn w:val="Standard"/>
    <w:next w:val="Standard"/>
    <w:link w:val="berschrift3Zchn"/>
    <w:qFormat/>
    <w:rsid w:val="00AA6163"/>
    <w:pPr>
      <w:keepNext/>
      <w:numPr>
        <w:ilvl w:val="2"/>
        <w:numId w:val="1"/>
      </w:numPr>
      <w:spacing w:after="120"/>
      <w:outlineLvl w:val="2"/>
    </w:pPr>
    <w:rPr>
      <w:rFonts w:cs="Arial"/>
      <w:bCs/>
      <w:szCs w:val="26"/>
    </w:rPr>
  </w:style>
  <w:style w:type="paragraph" w:styleId="berschrift4">
    <w:name w:val="heading 4"/>
    <w:basedOn w:val="Standard"/>
    <w:next w:val="Standard"/>
    <w:qFormat/>
    <w:rsid w:val="00805ED1"/>
    <w:pPr>
      <w:keepNext/>
      <w:numPr>
        <w:ilvl w:val="3"/>
        <w:numId w:val="1"/>
      </w:numPr>
      <w:spacing w:before="240" w:after="120"/>
      <w:ind w:left="862" w:hanging="862"/>
      <w:outlineLvl w:val="3"/>
    </w:pPr>
    <w:rPr>
      <w:b/>
      <w:bCs/>
    </w:rPr>
  </w:style>
  <w:style w:type="paragraph" w:styleId="berschrift5">
    <w:name w:val="heading 5"/>
    <w:basedOn w:val="Standard"/>
    <w:next w:val="Standard"/>
    <w:qFormat/>
    <w:rsid w:val="005961D6"/>
    <w:pPr>
      <w:numPr>
        <w:ilvl w:val="4"/>
        <w:numId w:val="1"/>
      </w:numPr>
      <w:spacing w:before="240" w:after="60"/>
      <w:outlineLvl w:val="4"/>
    </w:pPr>
    <w:rPr>
      <w:b/>
      <w:bCs/>
      <w:i/>
      <w:iCs/>
      <w:sz w:val="26"/>
      <w:szCs w:val="26"/>
    </w:rPr>
  </w:style>
  <w:style w:type="paragraph" w:styleId="berschrift6">
    <w:name w:val="heading 6"/>
    <w:basedOn w:val="Standard"/>
    <w:next w:val="Standard"/>
    <w:qFormat/>
    <w:rsid w:val="005961D6"/>
    <w:pPr>
      <w:numPr>
        <w:ilvl w:val="5"/>
        <w:numId w:val="1"/>
      </w:numPr>
      <w:spacing w:before="240" w:after="60"/>
      <w:outlineLvl w:val="5"/>
    </w:pPr>
    <w:rPr>
      <w:b/>
      <w:bCs/>
      <w:sz w:val="22"/>
      <w:szCs w:val="22"/>
    </w:rPr>
  </w:style>
  <w:style w:type="paragraph" w:styleId="berschrift7">
    <w:name w:val="heading 7"/>
    <w:basedOn w:val="Standard"/>
    <w:next w:val="Standard"/>
    <w:qFormat/>
    <w:rsid w:val="005961D6"/>
    <w:pPr>
      <w:numPr>
        <w:ilvl w:val="6"/>
        <w:numId w:val="1"/>
      </w:numPr>
      <w:spacing w:before="240" w:after="60"/>
      <w:outlineLvl w:val="6"/>
    </w:pPr>
  </w:style>
  <w:style w:type="paragraph" w:styleId="berschrift8">
    <w:name w:val="heading 8"/>
    <w:basedOn w:val="Standard"/>
    <w:next w:val="Standard"/>
    <w:qFormat/>
    <w:rsid w:val="005961D6"/>
    <w:pPr>
      <w:numPr>
        <w:ilvl w:val="7"/>
        <w:numId w:val="1"/>
      </w:numPr>
      <w:spacing w:before="240" w:after="60"/>
      <w:outlineLvl w:val="7"/>
    </w:pPr>
    <w:rPr>
      <w:i/>
      <w:iCs/>
    </w:rPr>
  </w:style>
  <w:style w:type="paragraph" w:styleId="berschrift9">
    <w:name w:val="heading 9"/>
    <w:basedOn w:val="Standard"/>
    <w:next w:val="Standard"/>
    <w:qFormat/>
    <w:rsid w:val="005961D6"/>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schriftungen">
    <w:name w:val="Beschriftungen"/>
    <w:basedOn w:val="Beschriftung"/>
    <w:rsid w:val="005961D6"/>
    <w:pPr>
      <w:spacing w:after="240"/>
      <w:contextualSpacing/>
      <w:jc w:val="center"/>
    </w:pPr>
    <w:rPr>
      <w:b/>
      <w:i/>
    </w:rPr>
  </w:style>
  <w:style w:type="paragraph" w:styleId="Kopfzeile">
    <w:name w:val="header"/>
    <w:basedOn w:val="Standard"/>
    <w:rsid w:val="005961D6"/>
    <w:pPr>
      <w:tabs>
        <w:tab w:val="center" w:pos="4536"/>
        <w:tab w:val="right" w:pos="9072"/>
      </w:tabs>
    </w:pPr>
  </w:style>
  <w:style w:type="paragraph" w:styleId="Beschriftung">
    <w:name w:val="caption"/>
    <w:basedOn w:val="Standard"/>
    <w:next w:val="Standard"/>
    <w:qFormat/>
    <w:rsid w:val="00BD024B"/>
    <w:pPr>
      <w:spacing w:before="120" w:after="60" w:line="240" w:lineRule="auto"/>
    </w:pPr>
    <w:rPr>
      <w:bCs/>
      <w:sz w:val="22"/>
      <w:szCs w:val="20"/>
      <w:lang w:val="de-DE"/>
    </w:rPr>
  </w:style>
  <w:style w:type="paragraph" w:styleId="Fuzeile">
    <w:name w:val="footer"/>
    <w:basedOn w:val="Standard"/>
    <w:link w:val="FuzeileZchn"/>
    <w:uiPriority w:val="99"/>
    <w:rsid w:val="005961D6"/>
    <w:pPr>
      <w:tabs>
        <w:tab w:val="center" w:pos="4536"/>
        <w:tab w:val="right" w:pos="9072"/>
      </w:tabs>
    </w:pPr>
  </w:style>
  <w:style w:type="character" w:styleId="Seitenzahl">
    <w:name w:val="page number"/>
    <w:basedOn w:val="Absatz-Standardschriftart"/>
    <w:rsid w:val="005961D6"/>
  </w:style>
  <w:style w:type="paragraph" w:styleId="Verzeichnis1">
    <w:name w:val="toc 1"/>
    <w:basedOn w:val="Standard"/>
    <w:next w:val="Standard"/>
    <w:autoRedefine/>
    <w:uiPriority w:val="39"/>
    <w:rsid w:val="005961D6"/>
    <w:pPr>
      <w:tabs>
        <w:tab w:val="left" w:pos="426"/>
        <w:tab w:val="right" w:leader="dot" w:pos="8777"/>
      </w:tabs>
      <w:spacing w:before="120" w:after="120"/>
      <w:jc w:val="left"/>
    </w:pPr>
    <w:rPr>
      <w:b/>
      <w:bCs/>
      <w:noProof/>
    </w:rPr>
  </w:style>
  <w:style w:type="paragraph" w:styleId="Verzeichnis2">
    <w:name w:val="toc 2"/>
    <w:basedOn w:val="Standard"/>
    <w:next w:val="Standard"/>
    <w:autoRedefine/>
    <w:uiPriority w:val="39"/>
    <w:rsid w:val="005961D6"/>
    <w:pPr>
      <w:tabs>
        <w:tab w:val="left" w:pos="993"/>
        <w:tab w:val="right" w:leader="dot" w:pos="8777"/>
      </w:tabs>
      <w:ind w:left="426"/>
      <w:jc w:val="left"/>
    </w:pPr>
    <w:rPr>
      <w:noProof/>
    </w:rPr>
  </w:style>
  <w:style w:type="paragraph" w:styleId="Verzeichnis3">
    <w:name w:val="toc 3"/>
    <w:basedOn w:val="Standard"/>
    <w:next w:val="Standard"/>
    <w:autoRedefine/>
    <w:uiPriority w:val="39"/>
    <w:rsid w:val="005961D6"/>
    <w:pPr>
      <w:tabs>
        <w:tab w:val="left" w:pos="1701"/>
        <w:tab w:val="right" w:leader="dot" w:pos="8777"/>
      </w:tabs>
      <w:ind w:left="993"/>
      <w:jc w:val="left"/>
    </w:pPr>
    <w:rPr>
      <w:iCs/>
      <w:noProof/>
    </w:rPr>
  </w:style>
  <w:style w:type="paragraph" w:styleId="Verzeichnis4">
    <w:name w:val="toc 4"/>
    <w:basedOn w:val="Standard"/>
    <w:next w:val="Standard"/>
    <w:autoRedefine/>
    <w:semiHidden/>
    <w:rsid w:val="005961D6"/>
    <w:pPr>
      <w:tabs>
        <w:tab w:val="left" w:pos="2661"/>
        <w:tab w:val="right" w:leader="dot" w:pos="8777"/>
      </w:tabs>
      <w:ind w:left="1701"/>
      <w:jc w:val="left"/>
    </w:pPr>
    <w:rPr>
      <w:noProof/>
      <w:szCs w:val="22"/>
    </w:rPr>
  </w:style>
  <w:style w:type="paragraph" w:styleId="Verzeichnis5">
    <w:name w:val="toc 5"/>
    <w:basedOn w:val="Standard"/>
    <w:next w:val="Standard"/>
    <w:autoRedefine/>
    <w:semiHidden/>
    <w:rsid w:val="005961D6"/>
    <w:pPr>
      <w:ind w:left="960"/>
      <w:jc w:val="left"/>
    </w:pPr>
    <w:rPr>
      <w:szCs w:val="21"/>
    </w:rPr>
  </w:style>
  <w:style w:type="paragraph" w:styleId="Verzeichnis6">
    <w:name w:val="toc 6"/>
    <w:basedOn w:val="Standard"/>
    <w:next w:val="Standard"/>
    <w:autoRedefine/>
    <w:semiHidden/>
    <w:rsid w:val="005961D6"/>
    <w:pPr>
      <w:ind w:left="1200"/>
      <w:jc w:val="left"/>
    </w:pPr>
    <w:rPr>
      <w:szCs w:val="21"/>
    </w:rPr>
  </w:style>
  <w:style w:type="paragraph" w:styleId="Verzeichnis7">
    <w:name w:val="toc 7"/>
    <w:basedOn w:val="Standard"/>
    <w:next w:val="Standard"/>
    <w:autoRedefine/>
    <w:semiHidden/>
    <w:rsid w:val="005961D6"/>
    <w:pPr>
      <w:ind w:left="1440"/>
      <w:jc w:val="left"/>
    </w:pPr>
    <w:rPr>
      <w:szCs w:val="21"/>
    </w:rPr>
  </w:style>
  <w:style w:type="paragraph" w:styleId="Verzeichnis8">
    <w:name w:val="toc 8"/>
    <w:basedOn w:val="Standard"/>
    <w:next w:val="Standard"/>
    <w:autoRedefine/>
    <w:semiHidden/>
    <w:rsid w:val="005961D6"/>
    <w:pPr>
      <w:ind w:left="1680"/>
      <w:jc w:val="left"/>
    </w:pPr>
    <w:rPr>
      <w:szCs w:val="21"/>
    </w:rPr>
  </w:style>
  <w:style w:type="paragraph" w:styleId="Verzeichnis9">
    <w:name w:val="toc 9"/>
    <w:basedOn w:val="Standard"/>
    <w:next w:val="Standard"/>
    <w:autoRedefine/>
    <w:semiHidden/>
    <w:rsid w:val="005961D6"/>
    <w:pPr>
      <w:ind w:left="1920"/>
      <w:jc w:val="left"/>
    </w:pPr>
    <w:rPr>
      <w:szCs w:val="21"/>
    </w:rPr>
  </w:style>
  <w:style w:type="character" w:styleId="Hyperlink">
    <w:name w:val="Hyperlink"/>
    <w:basedOn w:val="Absatz-Standardschriftart"/>
    <w:uiPriority w:val="99"/>
    <w:rsid w:val="005961D6"/>
    <w:rPr>
      <w:color w:val="0000FF"/>
      <w:u w:val="single"/>
    </w:rPr>
  </w:style>
  <w:style w:type="paragraph" w:styleId="Abbildungsverzeichnis">
    <w:name w:val="table of figures"/>
    <w:basedOn w:val="Standard"/>
    <w:next w:val="Standard"/>
    <w:uiPriority w:val="99"/>
    <w:rsid w:val="005961D6"/>
  </w:style>
  <w:style w:type="paragraph" w:styleId="Textkrper">
    <w:name w:val="Body Text"/>
    <w:basedOn w:val="Standard"/>
    <w:rsid w:val="005961D6"/>
    <w:pPr>
      <w:jc w:val="center"/>
    </w:pPr>
    <w:rPr>
      <w:b/>
      <w:bCs/>
      <w:sz w:val="40"/>
    </w:rPr>
  </w:style>
  <w:style w:type="paragraph" w:customStyle="1" w:styleId="Abbildung">
    <w:name w:val="Abbildung"/>
    <w:basedOn w:val="Standard"/>
    <w:next w:val="Standard"/>
    <w:rsid w:val="005961D6"/>
    <w:pPr>
      <w:spacing w:after="120" w:line="240" w:lineRule="auto"/>
      <w:jc w:val="center"/>
    </w:pPr>
    <w:rPr>
      <w:sz w:val="22"/>
      <w:szCs w:val="22"/>
      <w:lang w:val="de-DE" w:eastAsia="de-DE" w:bidi="ar-SA"/>
    </w:rPr>
  </w:style>
  <w:style w:type="paragraph" w:styleId="Index6">
    <w:name w:val="index 6"/>
    <w:basedOn w:val="Standard"/>
    <w:next w:val="Standard"/>
    <w:autoRedefine/>
    <w:semiHidden/>
    <w:rsid w:val="005961D6"/>
    <w:pPr>
      <w:ind w:left="1440" w:hanging="240"/>
    </w:pPr>
  </w:style>
  <w:style w:type="paragraph" w:styleId="Listennummer">
    <w:name w:val="List Number"/>
    <w:basedOn w:val="Standard"/>
    <w:rsid w:val="005961D6"/>
    <w:pPr>
      <w:numPr>
        <w:numId w:val="6"/>
      </w:numPr>
      <w:spacing w:after="120" w:line="240" w:lineRule="auto"/>
      <w:ind w:left="568" w:hanging="284"/>
    </w:pPr>
    <w:rPr>
      <w:sz w:val="22"/>
      <w:szCs w:val="22"/>
      <w:lang w:val="de-DE" w:eastAsia="de-DE" w:bidi="ar-SA"/>
    </w:rPr>
  </w:style>
  <w:style w:type="paragraph" w:customStyle="1" w:styleId="berschrift1a">
    <w:name w:val="Überschrift 1a"/>
    <w:basedOn w:val="berschrift1"/>
    <w:rsid w:val="005961D6"/>
    <w:pPr>
      <w:numPr>
        <w:numId w:val="0"/>
      </w:numPr>
      <w:spacing w:before="120"/>
    </w:pPr>
  </w:style>
  <w:style w:type="paragraph" w:styleId="Textkrper2">
    <w:name w:val="Body Text 2"/>
    <w:basedOn w:val="Standard"/>
    <w:rsid w:val="005961D6"/>
    <w:pPr>
      <w:jc w:val="center"/>
    </w:pPr>
  </w:style>
  <w:style w:type="paragraph" w:styleId="Funotentext">
    <w:name w:val="footnote text"/>
    <w:basedOn w:val="Standard"/>
    <w:link w:val="FunotentextZchn"/>
    <w:semiHidden/>
    <w:rsid w:val="00BD1609"/>
    <w:pPr>
      <w:keepLines/>
      <w:tabs>
        <w:tab w:val="left" w:pos="454"/>
      </w:tabs>
      <w:spacing w:before="120" w:after="120" w:line="240" w:lineRule="auto"/>
      <w:ind w:left="170" w:hanging="170"/>
    </w:pPr>
    <w:rPr>
      <w:sz w:val="20"/>
      <w:szCs w:val="20"/>
    </w:rPr>
  </w:style>
  <w:style w:type="character" w:styleId="Funotenzeichen">
    <w:name w:val="footnote reference"/>
    <w:basedOn w:val="Absatz-Standardschriftart"/>
    <w:uiPriority w:val="99"/>
    <w:semiHidden/>
    <w:rsid w:val="005961D6"/>
    <w:rPr>
      <w:vertAlign w:val="superscript"/>
    </w:rPr>
  </w:style>
  <w:style w:type="paragraph" w:customStyle="1" w:styleId="Quelle">
    <w:name w:val="Quelle"/>
    <w:basedOn w:val="Beschriftung"/>
    <w:rsid w:val="005961D6"/>
    <w:pPr>
      <w:spacing w:before="60"/>
    </w:pPr>
    <w:rPr>
      <w:sz w:val="20"/>
    </w:rPr>
  </w:style>
  <w:style w:type="paragraph" w:customStyle="1" w:styleId="Grafik">
    <w:name w:val="Grafik"/>
    <w:basedOn w:val="Standard"/>
    <w:rsid w:val="005961D6"/>
    <w:pPr>
      <w:pBdr>
        <w:top w:val="single" w:sz="4" w:space="1" w:color="auto"/>
        <w:bottom w:val="single" w:sz="4" w:space="1" w:color="auto"/>
      </w:pBdr>
      <w:spacing w:line="240" w:lineRule="auto"/>
    </w:pPr>
  </w:style>
  <w:style w:type="character" w:customStyle="1" w:styleId="bold">
    <w:name w:val="bold"/>
    <w:basedOn w:val="Absatz-Standardschriftart"/>
    <w:rsid w:val="00EC386E"/>
  </w:style>
  <w:style w:type="character" w:customStyle="1" w:styleId="s">
    <w:name w:val="s"/>
    <w:basedOn w:val="Absatz-Standardschriftart"/>
    <w:rsid w:val="00EC386E"/>
  </w:style>
  <w:style w:type="paragraph" w:styleId="Sprechblasentext">
    <w:name w:val="Balloon Text"/>
    <w:basedOn w:val="Standard"/>
    <w:link w:val="SprechblasentextZchn"/>
    <w:rsid w:val="004B13F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B13FF"/>
    <w:rPr>
      <w:rFonts w:ascii="Tahoma" w:hAnsi="Tahoma" w:cs="Tahoma"/>
      <w:sz w:val="16"/>
      <w:szCs w:val="16"/>
      <w:lang w:bidi="he-IL"/>
    </w:rPr>
  </w:style>
  <w:style w:type="paragraph" w:styleId="Inhaltsverzeichnisberschrift">
    <w:name w:val="TOC Heading"/>
    <w:basedOn w:val="berschrift1"/>
    <w:next w:val="Standard"/>
    <w:uiPriority w:val="39"/>
    <w:unhideWhenUsed/>
    <w:qFormat/>
    <w:rsid w:val="004D6454"/>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de-DE" w:eastAsia="de-DE" w:bidi="ar-SA"/>
    </w:rPr>
  </w:style>
  <w:style w:type="character" w:styleId="Kommentarzeichen">
    <w:name w:val="annotation reference"/>
    <w:basedOn w:val="Absatz-Standardschriftart"/>
    <w:uiPriority w:val="99"/>
    <w:semiHidden/>
    <w:unhideWhenUsed/>
    <w:rsid w:val="00856DA5"/>
    <w:rPr>
      <w:sz w:val="16"/>
      <w:szCs w:val="16"/>
    </w:rPr>
  </w:style>
  <w:style w:type="paragraph" w:styleId="Kommentartext">
    <w:name w:val="annotation text"/>
    <w:basedOn w:val="Standard"/>
    <w:link w:val="KommentartextZchn"/>
    <w:uiPriority w:val="99"/>
    <w:semiHidden/>
    <w:unhideWhenUsed/>
    <w:rsid w:val="00856DA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6DA5"/>
    <w:rPr>
      <w:lang w:bidi="he-IL"/>
    </w:rPr>
  </w:style>
  <w:style w:type="paragraph" w:styleId="Kommentarthema">
    <w:name w:val="annotation subject"/>
    <w:basedOn w:val="Kommentartext"/>
    <w:next w:val="Kommentartext"/>
    <w:link w:val="KommentarthemaZchn"/>
    <w:semiHidden/>
    <w:unhideWhenUsed/>
    <w:rsid w:val="00856DA5"/>
    <w:rPr>
      <w:b/>
      <w:bCs/>
    </w:rPr>
  </w:style>
  <w:style w:type="character" w:customStyle="1" w:styleId="KommentarthemaZchn">
    <w:name w:val="Kommentarthema Zchn"/>
    <w:basedOn w:val="KommentartextZchn"/>
    <w:link w:val="Kommentarthema"/>
    <w:semiHidden/>
    <w:rsid w:val="00856DA5"/>
    <w:rPr>
      <w:b/>
      <w:bCs/>
      <w:lang w:bidi="he-IL"/>
    </w:rPr>
  </w:style>
  <w:style w:type="paragraph" w:styleId="Listenabsatz">
    <w:name w:val="List Paragraph"/>
    <w:basedOn w:val="Standard"/>
    <w:uiPriority w:val="34"/>
    <w:qFormat/>
    <w:rsid w:val="00071403"/>
    <w:pPr>
      <w:ind w:left="720"/>
      <w:contextualSpacing/>
    </w:pPr>
  </w:style>
  <w:style w:type="character" w:customStyle="1" w:styleId="FuzeileZchn">
    <w:name w:val="Fußzeile Zchn"/>
    <w:basedOn w:val="Absatz-Standardschriftart"/>
    <w:link w:val="Fuzeile"/>
    <w:uiPriority w:val="99"/>
    <w:rsid w:val="001116F2"/>
    <w:rPr>
      <w:rFonts w:ascii="Arial" w:hAnsi="Arial"/>
      <w:sz w:val="24"/>
      <w:szCs w:val="24"/>
      <w:lang w:bidi="he-IL"/>
    </w:rPr>
  </w:style>
  <w:style w:type="paragraph" w:styleId="KeinLeerraum">
    <w:name w:val="No Spacing"/>
    <w:link w:val="KeinLeerraumZchn"/>
    <w:uiPriority w:val="1"/>
    <w:qFormat/>
    <w:rsid w:val="00AB1D4B"/>
    <w:rPr>
      <w:rFonts w:asciiTheme="minorHAnsi" w:eastAsiaTheme="minorHAnsi" w:hAnsiTheme="minorHAnsi" w:cstheme="minorBidi"/>
      <w:sz w:val="22"/>
      <w:szCs w:val="22"/>
      <w:lang w:eastAsia="en-US"/>
    </w:rPr>
  </w:style>
  <w:style w:type="character" w:customStyle="1" w:styleId="FunotentextZchn">
    <w:name w:val="Fußnotentext Zchn"/>
    <w:basedOn w:val="Absatz-Standardschriftart"/>
    <w:link w:val="Funotentext"/>
    <w:semiHidden/>
    <w:rsid w:val="00BD1609"/>
    <w:rPr>
      <w:rFonts w:ascii="Arial" w:hAnsi="Arial"/>
      <w:lang w:bidi="he-IL"/>
    </w:rPr>
  </w:style>
  <w:style w:type="character" w:customStyle="1" w:styleId="KeinLeerraumZchn">
    <w:name w:val="Kein Leerraum Zchn"/>
    <w:basedOn w:val="Absatz-Standardschriftart"/>
    <w:link w:val="KeinLeerraum"/>
    <w:uiPriority w:val="1"/>
    <w:rsid w:val="00AB1D4B"/>
    <w:rPr>
      <w:rFonts w:asciiTheme="minorHAnsi" w:eastAsiaTheme="minorHAnsi" w:hAnsiTheme="minorHAnsi" w:cstheme="minorBidi"/>
      <w:sz w:val="22"/>
      <w:szCs w:val="22"/>
      <w:lang w:eastAsia="en-US"/>
    </w:rPr>
  </w:style>
  <w:style w:type="table" w:styleId="Tabellenraster">
    <w:name w:val="Table Grid"/>
    <w:basedOn w:val="NormaleTabelle"/>
    <w:uiPriority w:val="59"/>
    <w:rsid w:val="00AB1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semiHidden/>
    <w:unhideWhenUsed/>
    <w:rsid w:val="004D3FCE"/>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F685D"/>
    <w:rPr>
      <w:color w:val="605E5C"/>
      <w:shd w:val="clear" w:color="auto" w:fill="E1DFDD"/>
    </w:rPr>
  </w:style>
  <w:style w:type="character" w:customStyle="1" w:styleId="berschrift3Zchn">
    <w:name w:val="Überschrift 3 Zchn"/>
    <w:basedOn w:val="Absatz-Standardschriftart"/>
    <w:link w:val="berschrift3"/>
    <w:rsid w:val="00AA6163"/>
    <w:rPr>
      <w:rFonts w:ascii="Arial" w:hAnsi="Arial" w:cs="Arial"/>
      <w:bCs/>
      <w:sz w:val="24"/>
      <w:szCs w:val="26"/>
      <w:lang w:bidi="he-IL"/>
    </w:rPr>
  </w:style>
  <w:style w:type="character" w:styleId="Fett">
    <w:name w:val="Strong"/>
    <w:basedOn w:val="Absatz-Standardschriftart"/>
    <w:qFormat/>
    <w:rsid w:val="00AF5ED4"/>
    <w:rPr>
      <w:b/>
      <w:bCs/>
    </w:rPr>
  </w:style>
  <w:style w:type="character" w:styleId="Hervorhebung">
    <w:name w:val="Emphasis"/>
    <w:aliases w:val="Kursiv"/>
    <w:basedOn w:val="Absatz-Standardschriftart"/>
    <w:qFormat/>
    <w:rsid w:val="00AF5ED4"/>
    <w:rPr>
      <w:i/>
      <w:iCs/>
    </w:rPr>
  </w:style>
  <w:style w:type="paragraph" w:styleId="Titel">
    <w:name w:val="Title"/>
    <w:basedOn w:val="Standard"/>
    <w:next w:val="Standard"/>
    <w:link w:val="TitelZchn"/>
    <w:rsid w:val="00AF5E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AF5ED4"/>
    <w:rPr>
      <w:rFonts w:asciiTheme="majorHAnsi" w:eastAsiaTheme="majorEastAsia" w:hAnsiTheme="majorHAnsi" w:cstheme="majorBidi"/>
      <w:color w:val="17365D" w:themeColor="text2" w:themeShade="BF"/>
      <w:spacing w:val="5"/>
      <w:kern w:val="28"/>
      <w:sz w:val="52"/>
      <w:szCs w:val="52"/>
      <w:lang w:bidi="he-IL"/>
    </w:rPr>
  </w:style>
  <w:style w:type="paragraph" w:customStyle="1" w:styleId="Default">
    <w:name w:val="Default"/>
    <w:rsid w:val="00BE0458"/>
    <w:pPr>
      <w:autoSpaceDE w:val="0"/>
      <w:autoSpaceDN w:val="0"/>
      <w:adjustRightInd w:val="0"/>
    </w:pPr>
    <w:rPr>
      <w:rFonts w:ascii="Calibri" w:hAnsi="Calibri" w:cs="Calibri"/>
      <w:color w:val="000000"/>
      <w:sz w:val="24"/>
      <w:szCs w:val="24"/>
    </w:rPr>
  </w:style>
  <w:style w:type="paragraph" w:customStyle="1" w:styleId="Funote">
    <w:name w:val="Fußnote"/>
    <w:basedOn w:val="Funotentext"/>
    <w:link w:val="FunoteZchn"/>
    <w:qFormat/>
    <w:rsid w:val="004B7445"/>
    <w:pPr>
      <w:ind w:left="113" w:hanging="113"/>
    </w:pPr>
  </w:style>
  <w:style w:type="paragraph" w:customStyle="1" w:styleId="LiteraturimVerzeichnis">
    <w:name w:val="Literatur (im Verzeichnis)"/>
    <w:basedOn w:val="Standard"/>
    <w:link w:val="LiteraturimVerzeichnisZchn"/>
    <w:qFormat/>
    <w:rsid w:val="000F1A5B"/>
    <w:pPr>
      <w:jc w:val="left"/>
    </w:pPr>
  </w:style>
  <w:style w:type="character" w:customStyle="1" w:styleId="FunoteZchn">
    <w:name w:val="Fußnote Zchn"/>
    <w:basedOn w:val="FunotentextZchn"/>
    <w:link w:val="Funote"/>
    <w:rsid w:val="004B7445"/>
    <w:rPr>
      <w:rFonts w:ascii="Arial" w:hAnsi="Arial"/>
      <w:lang w:bidi="he-IL"/>
    </w:rPr>
  </w:style>
  <w:style w:type="character" w:customStyle="1" w:styleId="LiteraturimVerzeichnisZchn">
    <w:name w:val="Literatur (im Verzeichnis) Zchn"/>
    <w:basedOn w:val="Absatz-Standardschriftart"/>
    <w:link w:val="LiteraturimVerzeichnis"/>
    <w:rsid w:val="000F1A5B"/>
    <w:rPr>
      <w:rFonts w:ascii="Arial" w:hAnsi="Arial"/>
      <w:sz w:val="24"/>
      <w:szCs w:val="24"/>
      <w:lang w:bidi="he-IL"/>
    </w:rPr>
  </w:style>
  <w:style w:type="paragraph" w:styleId="StandardWeb">
    <w:name w:val="Normal (Web)"/>
    <w:basedOn w:val="Standard"/>
    <w:uiPriority w:val="99"/>
    <w:semiHidden/>
    <w:unhideWhenUsed/>
    <w:rsid w:val="00050015"/>
    <w:pPr>
      <w:spacing w:before="100" w:beforeAutospacing="1" w:after="100" w:afterAutospacing="1" w:line="240" w:lineRule="auto"/>
      <w:jc w:val="left"/>
    </w:pPr>
    <w:rPr>
      <w:rFonts w:ascii="Times New Roman" w:eastAsiaTheme="minorEastAsia"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5943">
      <w:bodyDiv w:val="1"/>
      <w:marLeft w:val="0"/>
      <w:marRight w:val="0"/>
      <w:marTop w:val="0"/>
      <w:marBottom w:val="0"/>
      <w:divBdr>
        <w:top w:val="none" w:sz="0" w:space="0" w:color="auto"/>
        <w:left w:val="none" w:sz="0" w:space="0" w:color="auto"/>
        <w:bottom w:val="none" w:sz="0" w:space="0" w:color="auto"/>
        <w:right w:val="none" w:sz="0" w:space="0" w:color="auto"/>
      </w:divBdr>
    </w:div>
    <w:div w:id="120728313">
      <w:bodyDiv w:val="1"/>
      <w:marLeft w:val="0"/>
      <w:marRight w:val="0"/>
      <w:marTop w:val="0"/>
      <w:marBottom w:val="0"/>
      <w:divBdr>
        <w:top w:val="none" w:sz="0" w:space="0" w:color="auto"/>
        <w:left w:val="none" w:sz="0" w:space="0" w:color="auto"/>
        <w:bottom w:val="none" w:sz="0" w:space="0" w:color="auto"/>
        <w:right w:val="none" w:sz="0" w:space="0" w:color="auto"/>
      </w:divBdr>
    </w:div>
    <w:div w:id="157156480">
      <w:bodyDiv w:val="1"/>
      <w:marLeft w:val="0"/>
      <w:marRight w:val="0"/>
      <w:marTop w:val="0"/>
      <w:marBottom w:val="0"/>
      <w:divBdr>
        <w:top w:val="none" w:sz="0" w:space="0" w:color="auto"/>
        <w:left w:val="none" w:sz="0" w:space="0" w:color="auto"/>
        <w:bottom w:val="none" w:sz="0" w:space="0" w:color="auto"/>
        <w:right w:val="none" w:sz="0" w:space="0" w:color="auto"/>
      </w:divBdr>
    </w:div>
    <w:div w:id="192693959">
      <w:bodyDiv w:val="1"/>
      <w:marLeft w:val="0"/>
      <w:marRight w:val="0"/>
      <w:marTop w:val="0"/>
      <w:marBottom w:val="0"/>
      <w:divBdr>
        <w:top w:val="none" w:sz="0" w:space="0" w:color="auto"/>
        <w:left w:val="none" w:sz="0" w:space="0" w:color="auto"/>
        <w:bottom w:val="none" w:sz="0" w:space="0" w:color="auto"/>
        <w:right w:val="none" w:sz="0" w:space="0" w:color="auto"/>
      </w:divBdr>
    </w:div>
    <w:div w:id="196312153">
      <w:bodyDiv w:val="1"/>
      <w:marLeft w:val="0"/>
      <w:marRight w:val="0"/>
      <w:marTop w:val="0"/>
      <w:marBottom w:val="0"/>
      <w:divBdr>
        <w:top w:val="none" w:sz="0" w:space="0" w:color="auto"/>
        <w:left w:val="none" w:sz="0" w:space="0" w:color="auto"/>
        <w:bottom w:val="none" w:sz="0" w:space="0" w:color="auto"/>
        <w:right w:val="none" w:sz="0" w:space="0" w:color="auto"/>
      </w:divBdr>
    </w:div>
    <w:div w:id="216085756">
      <w:bodyDiv w:val="1"/>
      <w:marLeft w:val="0"/>
      <w:marRight w:val="0"/>
      <w:marTop w:val="0"/>
      <w:marBottom w:val="0"/>
      <w:divBdr>
        <w:top w:val="none" w:sz="0" w:space="0" w:color="auto"/>
        <w:left w:val="none" w:sz="0" w:space="0" w:color="auto"/>
        <w:bottom w:val="none" w:sz="0" w:space="0" w:color="auto"/>
        <w:right w:val="none" w:sz="0" w:space="0" w:color="auto"/>
      </w:divBdr>
      <w:divsChild>
        <w:div w:id="1160581168">
          <w:marLeft w:val="547"/>
          <w:marRight w:val="0"/>
          <w:marTop w:val="77"/>
          <w:marBottom w:val="0"/>
          <w:divBdr>
            <w:top w:val="none" w:sz="0" w:space="0" w:color="auto"/>
            <w:left w:val="none" w:sz="0" w:space="0" w:color="auto"/>
            <w:bottom w:val="none" w:sz="0" w:space="0" w:color="auto"/>
            <w:right w:val="none" w:sz="0" w:space="0" w:color="auto"/>
          </w:divBdr>
        </w:div>
      </w:divsChild>
    </w:div>
    <w:div w:id="328211562">
      <w:bodyDiv w:val="1"/>
      <w:marLeft w:val="0"/>
      <w:marRight w:val="0"/>
      <w:marTop w:val="0"/>
      <w:marBottom w:val="0"/>
      <w:divBdr>
        <w:top w:val="none" w:sz="0" w:space="0" w:color="auto"/>
        <w:left w:val="none" w:sz="0" w:space="0" w:color="auto"/>
        <w:bottom w:val="none" w:sz="0" w:space="0" w:color="auto"/>
        <w:right w:val="none" w:sz="0" w:space="0" w:color="auto"/>
      </w:divBdr>
    </w:div>
    <w:div w:id="413748342">
      <w:bodyDiv w:val="1"/>
      <w:marLeft w:val="0"/>
      <w:marRight w:val="0"/>
      <w:marTop w:val="0"/>
      <w:marBottom w:val="0"/>
      <w:divBdr>
        <w:top w:val="none" w:sz="0" w:space="0" w:color="auto"/>
        <w:left w:val="none" w:sz="0" w:space="0" w:color="auto"/>
        <w:bottom w:val="none" w:sz="0" w:space="0" w:color="auto"/>
        <w:right w:val="none" w:sz="0" w:space="0" w:color="auto"/>
      </w:divBdr>
    </w:div>
    <w:div w:id="444543306">
      <w:bodyDiv w:val="1"/>
      <w:marLeft w:val="0"/>
      <w:marRight w:val="0"/>
      <w:marTop w:val="0"/>
      <w:marBottom w:val="0"/>
      <w:divBdr>
        <w:top w:val="none" w:sz="0" w:space="0" w:color="auto"/>
        <w:left w:val="none" w:sz="0" w:space="0" w:color="auto"/>
        <w:bottom w:val="none" w:sz="0" w:space="0" w:color="auto"/>
        <w:right w:val="none" w:sz="0" w:space="0" w:color="auto"/>
      </w:divBdr>
    </w:div>
    <w:div w:id="455148080">
      <w:bodyDiv w:val="1"/>
      <w:marLeft w:val="0"/>
      <w:marRight w:val="0"/>
      <w:marTop w:val="0"/>
      <w:marBottom w:val="0"/>
      <w:divBdr>
        <w:top w:val="none" w:sz="0" w:space="0" w:color="auto"/>
        <w:left w:val="none" w:sz="0" w:space="0" w:color="auto"/>
        <w:bottom w:val="none" w:sz="0" w:space="0" w:color="auto"/>
        <w:right w:val="none" w:sz="0" w:space="0" w:color="auto"/>
      </w:divBdr>
    </w:div>
    <w:div w:id="494958433">
      <w:bodyDiv w:val="1"/>
      <w:marLeft w:val="0"/>
      <w:marRight w:val="0"/>
      <w:marTop w:val="0"/>
      <w:marBottom w:val="0"/>
      <w:divBdr>
        <w:top w:val="none" w:sz="0" w:space="0" w:color="auto"/>
        <w:left w:val="none" w:sz="0" w:space="0" w:color="auto"/>
        <w:bottom w:val="none" w:sz="0" w:space="0" w:color="auto"/>
        <w:right w:val="none" w:sz="0" w:space="0" w:color="auto"/>
      </w:divBdr>
    </w:div>
    <w:div w:id="497817295">
      <w:bodyDiv w:val="1"/>
      <w:marLeft w:val="0"/>
      <w:marRight w:val="0"/>
      <w:marTop w:val="0"/>
      <w:marBottom w:val="0"/>
      <w:divBdr>
        <w:top w:val="none" w:sz="0" w:space="0" w:color="auto"/>
        <w:left w:val="none" w:sz="0" w:space="0" w:color="auto"/>
        <w:bottom w:val="none" w:sz="0" w:space="0" w:color="auto"/>
        <w:right w:val="none" w:sz="0" w:space="0" w:color="auto"/>
      </w:divBdr>
    </w:div>
    <w:div w:id="614095746">
      <w:bodyDiv w:val="1"/>
      <w:marLeft w:val="0"/>
      <w:marRight w:val="0"/>
      <w:marTop w:val="0"/>
      <w:marBottom w:val="0"/>
      <w:divBdr>
        <w:top w:val="none" w:sz="0" w:space="0" w:color="auto"/>
        <w:left w:val="none" w:sz="0" w:space="0" w:color="auto"/>
        <w:bottom w:val="none" w:sz="0" w:space="0" w:color="auto"/>
        <w:right w:val="none" w:sz="0" w:space="0" w:color="auto"/>
      </w:divBdr>
    </w:div>
    <w:div w:id="667756181">
      <w:bodyDiv w:val="1"/>
      <w:marLeft w:val="0"/>
      <w:marRight w:val="0"/>
      <w:marTop w:val="0"/>
      <w:marBottom w:val="0"/>
      <w:divBdr>
        <w:top w:val="none" w:sz="0" w:space="0" w:color="auto"/>
        <w:left w:val="none" w:sz="0" w:space="0" w:color="auto"/>
        <w:bottom w:val="none" w:sz="0" w:space="0" w:color="auto"/>
        <w:right w:val="none" w:sz="0" w:space="0" w:color="auto"/>
      </w:divBdr>
    </w:div>
    <w:div w:id="674845529">
      <w:bodyDiv w:val="1"/>
      <w:marLeft w:val="0"/>
      <w:marRight w:val="0"/>
      <w:marTop w:val="0"/>
      <w:marBottom w:val="0"/>
      <w:divBdr>
        <w:top w:val="none" w:sz="0" w:space="0" w:color="auto"/>
        <w:left w:val="none" w:sz="0" w:space="0" w:color="auto"/>
        <w:bottom w:val="none" w:sz="0" w:space="0" w:color="auto"/>
        <w:right w:val="none" w:sz="0" w:space="0" w:color="auto"/>
      </w:divBdr>
    </w:div>
    <w:div w:id="683672979">
      <w:bodyDiv w:val="1"/>
      <w:marLeft w:val="0"/>
      <w:marRight w:val="0"/>
      <w:marTop w:val="0"/>
      <w:marBottom w:val="0"/>
      <w:divBdr>
        <w:top w:val="none" w:sz="0" w:space="0" w:color="auto"/>
        <w:left w:val="none" w:sz="0" w:space="0" w:color="auto"/>
        <w:bottom w:val="none" w:sz="0" w:space="0" w:color="auto"/>
        <w:right w:val="none" w:sz="0" w:space="0" w:color="auto"/>
      </w:divBdr>
      <w:divsChild>
        <w:div w:id="402945800">
          <w:marLeft w:val="547"/>
          <w:marRight w:val="0"/>
          <w:marTop w:val="77"/>
          <w:marBottom w:val="0"/>
          <w:divBdr>
            <w:top w:val="none" w:sz="0" w:space="0" w:color="auto"/>
            <w:left w:val="none" w:sz="0" w:space="0" w:color="auto"/>
            <w:bottom w:val="none" w:sz="0" w:space="0" w:color="auto"/>
            <w:right w:val="none" w:sz="0" w:space="0" w:color="auto"/>
          </w:divBdr>
        </w:div>
      </w:divsChild>
    </w:div>
    <w:div w:id="703022849">
      <w:bodyDiv w:val="1"/>
      <w:marLeft w:val="0"/>
      <w:marRight w:val="0"/>
      <w:marTop w:val="0"/>
      <w:marBottom w:val="0"/>
      <w:divBdr>
        <w:top w:val="none" w:sz="0" w:space="0" w:color="auto"/>
        <w:left w:val="none" w:sz="0" w:space="0" w:color="auto"/>
        <w:bottom w:val="none" w:sz="0" w:space="0" w:color="auto"/>
        <w:right w:val="none" w:sz="0" w:space="0" w:color="auto"/>
      </w:divBdr>
    </w:div>
    <w:div w:id="708259406">
      <w:bodyDiv w:val="1"/>
      <w:marLeft w:val="0"/>
      <w:marRight w:val="0"/>
      <w:marTop w:val="0"/>
      <w:marBottom w:val="0"/>
      <w:divBdr>
        <w:top w:val="none" w:sz="0" w:space="0" w:color="auto"/>
        <w:left w:val="none" w:sz="0" w:space="0" w:color="auto"/>
        <w:bottom w:val="none" w:sz="0" w:space="0" w:color="auto"/>
        <w:right w:val="none" w:sz="0" w:space="0" w:color="auto"/>
      </w:divBdr>
      <w:divsChild>
        <w:div w:id="971785038">
          <w:marLeft w:val="547"/>
          <w:marRight w:val="0"/>
          <w:marTop w:val="134"/>
          <w:marBottom w:val="0"/>
          <w:divBdr>
            <w:top w:val="none" w:sz="0" w:space="0" w:color="auto"/>
            <w:left w:val="none" w:sz="0" w:space="0" w:color="auto"/>
            <w:bottom w:val="none" w:sz="0" w:space="0" w:color="auto"/>
            <w:right w:val="none" w:sz="0" w:space="0" w:color="auto"/>
          </w:divBdr>
        </w:div>
      </w:divsChild>
    </w:div>
    <w:div w:id="814374894">
      <w:bodyDiv w:val="1"/>
      <w:marLeft w:val="0"/>
      <w:marRight w:val="0"/>
      <w:marTop w:val="0"/>
      <w:marBottom w:val="0"/>
      <w:divBdr>
        <w:top w:val="none" w:sz="0" w:space="0" w:color="auto"/>
        <w:left w:val="none" w:sz="0" w:space="0" w:color="auto"/>
        <w:bottom w:val="none" w:sz="0" w:space="0" w:color="auto"/>
        <w:right w:val="none" w:sz="0" w:space="0" w:color="auto"/>
      </w:divBdr>
      <w:divsChild>
        <w:div w:id="1983997924">
          <w:marLeft w:val="547"/>
          <w:marRight w:val="0"/>
          <w:marTop w:val="154"/>
          <w:marBottom w:val="0"/>
          <w:divBdr>
            <w:top w:val="none" w:sz="0" w:space="0" w:color="auto"/>
            <w:left w:val="none" w:sz="0" w:space="0" w:color="auto"/>
            <w:bottom w:val="none" w:sz="0" w:space="0" w:color="auto"/>
            <w:right w:val="none" w:sz="0" w:space="0" w:color="auto"/>
          </w:divBdr>
        </w:div>
      </w:divsChild>
    </w:div>
    <w:div w:id="837620302">
      <w:bodyDiv w:val="1"/>
      <w:marLeft w:val="0"/>
      <w:marRight w:val="0"/>
      <w:marTop w:val="0"/>
      <w:marBottom w:val="0"/>
      <w:divBdr>
        <w:top w:val="none" w:sz="0" w:space="0" w:color="auto"/>
        <w:left w:val="none" w:sz="0" w:space="0" w:color="auto"/>
        <w:bottom w:val="none" w:sz="0" w:space="0" w:color="auto"/>
        <w:right w:val="none" w:sz="0" w:space="0" w:color="auto"/>
      </w:divBdr>
    </w:div>
    <w:div w:id="845166702">
      <w:bodyDiv w:val="1"/>
      <w:marLeft w:val="0"/>
      <w:marRight w:val="0"/>
      <w:marTop w:val="0"/>
      <w:marBottom w:val="0"/>
      <w:divBdr>
        <w:top w:val="none" w:sz="0" w:space="0" w:color="auto"/>
        <w:left w:val="none" w:sz="0" w:space="0" w:color="auto"/>
        <w:bottom w:val="none" w:sz="0" w:space="0" w:color="auto"/>
        <w:right w:val="none" w:sz="0" w:space="0" w:color="auto"/>
      </w:divBdr>
    </w:div>
    <w:div w:id="904950694">
      <w:bodyDiv w:val="1"/>
      <w:marLeft w:val="0"/>
      <w:marRight w:val="0"/>
      <w:marTop w:val="0"/>
      <w:marBottom w:val="0"/>
      <w:divBdr>
        <w:top w:val="none" w:sz="0" w:space="0" w:color="auto"/>
        <w:left w:val="none" w:sz="0" w:space="0" w:color="auto"/>
        <w:bottom w:val="none" w:sz="0" w:space="0" w:color="auto"/>
        <w:right w:val="none" w:sz="0" w:space="0" w:color="auto"/>
      </w:divBdr>
    </w:div>
    <w:div w:id="916793150">
      <w:bodyDiv w:val="1"/>
      <w:marLeft w:val="0"/>
      <w:marRight w:val="0"/>
      <w:marTop w:val="0"/>
      <w:marBottom w:val="0"/>
      <w:divBdr>
        <w:top w:val="none" w:sz="0" w:space="0" w:color="auto"/>
        <w:left w:val="none" w:sz="0" w:space="0" w:color="auto"/>
        <w:bottom w:val="none" w:sz="0" w:space="0" w:color="auto"/>
        <w:right w:val="none" w:sz="0" w:space="0" w:color="auto"/>
      </w:divBdr>
      <w:divsChild>
        <w:div w:id="523907153">
          <w:marLeft w:val="547"/>
          <w:marRight w:val="0"/>
          <w:marTop w:val="134"/>
          <w:marBottom w:val="0"/>
          <w:divBdr>
            <w:top w:val="none" w:sz="0" w:space="0" w:color="auto"/>
            <w:left w:val="none" w:sz="0" w:space="0" w:color="auto"/>
            <w:bottom w:val="none" w:sz="0" w:space="0" w:color="auto"/>
            <w:right w:val="none" w:sz="0" w:space="0" w:color="auto"/>
          </w:divBdr>
        </w:div>
      </w:divsChild>
    </w:div>
    <w:div w:id="935133780">
      <w:bodyDiv w:val="1"/>
      <w:marLeft w:val="0"/>
      <w:marRight w:val="0"/>
      <w:marTop w:val="0"/>
      <w:marBottom w:val="0"/>
      <w:divBdr>
        <w:top w:val="none" w:sz="0" w:space="0" w:color="auto"/>
        <w:left w:val="none" w:sz="0" w:space="0" w:color="auto"/>
        <w:bottom w:val="none" w:sz="0" w:space="0" w:color="auto"/>
        <w:right w:val="none" w:sz="0" w:space="0" w:color="auto"/>
      </w:divBdr>
    </w:div>
    <w:div w:id="943196988">
      <w:bodyDiv w:val="1"/>
      <w:marLeft w:val="0"/>
      <w:marRight w:val="0"/>
      <w:marTop w:val="0"/>
      <w:marBottom w:val="0"/>
      <w:divBdr>
        <w:top w:val="none" w:sz="0" w:space="0" w:color="auto"/>
        <w:left w:val="none" w:sz="0" w:space="0" w:color="auto"/>
        <w:bottom w:val="none" w:sz="0" w:space="0" w:color="auto"/>
        <w:right w:val="none" w:sz="0" w:space="0" w:color="auto"/>
      </w:divBdr>
    </w:div>
    <w:div w:id="1072000338">
      <w:bodyDiv w:val="1"/>
      <w:marLeft w:val="0"/>
      <w:marRight w:val="0"/>
      <w:marTop w:val="0"/>
      <w:marBottom w:val="0"/>
      <w:divBdr>
        <w:top w:val="none" w:sz="0" w:space="0" w:color="auto"/>
        <w:left w:val="none" w:sz="0" w:space="0" w:color="auto"/>
        <w:bottom w:val="none" w:sz="0" w:space="0" w:color="auto"/>
        <w:right w:val="none" w:sz="0" w:space="0" w:color="auto"/>
      </w:divBdr>
    </w:div>
    <w:div w:id="1193566353">
      <w:bodyDiv w:val="1"/>
      <w:marLeft w:val="0"/>
      <w:marRight w:val="0"/>
      <w:marTop w:val="0"/>
      <w:marBottom w:val="0"/>
      <w:divBdr>
        <w:top w:val="none" w:sz="0" w:space="0" w:color="auto"/>
        <w:left w:val="none" w:sz="0" w:space="0" w:color="auto"/>
        <w:bottom w:val="none" w:sz="0" w:space="0" w:color="auto"/>
        <w:right w:val="none" w:sz="0" w:space="0" w:color="auto"/>
      </w:divBdr>
    </w:div>
    <w:div w:id="1215045722">
      <w:bodyDiv w:val="1"/>
      <w:marLeft w:val="0"/>
      <w:marRight w:val="0"/>
      <w:marTop w:val="0"/>
      <w:marBottom w:val="0"/>
      <w:divBdr>
        <w:top w:val="none" w:sz="0" w:space="0" w:color="auto"/>
        <w:left w:val="none" w:sz="0" w:space="0" w:color="auto"/>
        <w:bottom w:val="none" w:sz="0" w:space="0" w:color="auto"/>
        <w:right w:val="none" w:sz="0" w:space="0" w:color="auto"/>
      </w:divBdr>
      <w:divsChild>
        <w:div w:id="453597549">
          <w:marLeft w:val="547"/>
          <w:marRight w:val="0"/>
          <w:marTop w:val="154"/>
          <w:marBottom w:val="0"/>
          <w:divBdr>
            <w:top w:val="none" w:sz="0" w:space="0" w:color="auto"/>
            <w:left w:val="none" w:sz="0" w:space="0" w:color="auto"/>
            <w:bottom w:val="none" w:sz="0" w:space="0" w:color="auto"/>
            <w:right w:val="none" w:sz="0" w:space="0" w:color="auto"/>
          </w:divBdr>
        </w:div>
        <w:div w:id="933127377">
          <w:marLeft w:val="547"/>
          <w:marRight w:val="0"/>
          <w:marTop w:val="154"/>
          <w:marBottom w:val="0"/>
          <w:divBdr>
            <w:top w:val="none" w:sz="0" w:space="0" w:color="auto"/>
            <w:left w:val="none" w:sz="0" w:space="0" w:color="auto"/>
            <w:bottom w:val="none" w:sz="0" w:space="0" w:color="auto"/>
            <w:right w:val="none" w:sz="0" w:space="0" w:color="auto"/>
          </w:divBdr>
        </w:div>
      </w:divsChild>
    </w:div>
    <w:div w:id="1217618399">
      <w:bodyDiv w:val="1"/>
      <w:marLeft w:val="0"/>
      <w:marRight w:val="0"/>
      <w:marTop w:val="0"/>
      <w:marBottom w:val="0"/>
      <w:divBdr>
        <w:top w:val="none" w:sz="0" w:space="0" w:color="auto"/>
        <w:left w:val="none" w:sz="0" w:space="0" w:color="auto"/>
        <w:bottom w:val="none" w:sz="0" w:space="0" w:color="auto"/>
        <w:right w:val="none" w:sz="0" w:space="0" w:color="auto"/>
      </w:divBdr>
    </w:div>
    <w:div w:id="1282610864">
      <w:bodyDiv w:val="1"/>
      <w:marLeft w:val="0"/>
      <w:marRight w:val="0"/>
      <w:marTop w:val="0"/>
      <w:marBottom w:val="0"/>
      <w:divBdr>
        <w:top w:val="none" w:sz="0" w:space="0" w:color="auto"/>
        <w:left w:val="none" w:sz="0" w:space="0" w:color="auto"/>
        <w:bottom w:val="none" w:sz="0" w:space="0" w:color="auto"/>
        <w:right w:val="none" w:sz="0" w:space="0" w:color="auto"/>
      </w:divBdr>
    </w:div>
    <w:div w:id="1462992638">
      <w:bodyDiv w:val="1"/>
      <w:marLeft w:val="0"/>
      <w:marRight w:val="0"/>
      <w:marTop w:val="0"/>
      <w:marBottom w:val="0"/>
      <w:divBdr>
        <w:top w:val="none" w:sz="0" w:space="0" w:color="auto"/>
        <w:left w:val="none" w:sz="0" w:space="0" w:color="auto"/>
        <w:bottom w:val="none" w:sz="0" w:space="0" w:color="auto"/>
        <w:right w:val="none" w:sz="0" w:space="0" w:color="auto"/>
      </w:divBdr>
    </w:div>
    <w:div w:id="1503475016">
      <w:bodyDiv w:val="1"/>
      <w:marLeft w:val="0"/>
      <w:marRight w:val="0"/>
      <w:marTop w:val="0"/>
      <w:marBottom w:val="0"/>
      <w:divBdr>
        <w:top w:val="none" w:sz="0" w:space="0" w:color="auto"/>
        <w:left w:val="none" w:sz="0" w:space="0" w:color="auto"/>
        <w:bottom w:val="none" w:sz="0" w:space="0" w:color="auto"/>
        <w:right w:val="none" w:sz="0" w:space="0" w:color="auto"/>
      </w:divBdr>
    </w:div>
    <w:div w:id="1593705523">
      <w:bodyDiv w:val="1"/>
      <w:marLeft w:val="0"/>
      <w:marRight w:val="0"/>
      <w:marTop w:val="0"/>
      <w:marBottom w:val="0"/>
      <w:divBdr>
        <w:top w:val="none" w:sz="0" w:space="0" w:color="auto"/>
        <w:left w:val="none" w:sz="0" w:space="0" w:color="auto"/>
        <w:bottom w:val="none" w:sz="0" w:space="0" w:color="auto"/>
        <w:right w:val="none" w:sz="0" w:space="0" w:color="auto"/>
      </w:divBdr>
    </w:div>
    <w:div w:id="1639408333">
      <w:bodyDiv w:val="1"/>
      <w:marLeft w:val="0"/>
      <w:marRight w:val="0"/>
      <w:marTop w:val="0"/>
      <w:marBottom w:val="0"/>
      <w:divBdr>
        <w:top w:val="none" w:sz="0" w:space="0" w:color="auto"/>
        <w:left w:val="none" w:sz="0" w:space="0" w:color="auto"/>
        <w:bottom w:val="none" w:sz="0" w:space="0" w:color="auto"/>
        <w:right w:val="none" w:sz="0" w:space="0" w:color="auto"/>
      </w:divBdr>
    </w:div>
    <w:div w:id="1694258753">
      <w:bodyDiv w:val="1"/>
      <w:marLeft w:val="0"/>
      <w:marRight w:val="0"/>
      <w:marTop w:val="0"/>
      <w:marBottom w:val="0"/>
      <w:divBdr>
        <w:top w:val="none" w:sz="0" w:space="0" w:color="auto"/>
        <w:left w:val="none" w:sz="0" w:space="0" w:color="auto"/>
        <w:bottom w:val="none" w:sz="0" w:space="0" w:color="auto"/>
        <w:right w:val="none" w:sz="0" w:space="0" w:color="auto"/>
      </w:divBdr>
    </w:div>
    <w:div w:id="1713266356">
      <w:bodyDiv w:val="1"/>
      <w:marLeft w:val="0"/>
      <w:marRight w:val="0"/>
      <w:marTop w:val="0"/>
      <w:marBottom w:val="0"/>
      <w:divBdr>
        <w:top w:val="none" w:sz="0" w:space="0" w:color="auto"/>
        <w:left w:val="none" w:sz="0" w:space="0" w:color="auto"/>
        <w:bottom w:val="none" w:sz="0" w:space="0" w:color="auto"/>
        <w:right w:val="none" w:sz="0" w:space="0" w:color="auto"/>
      </w:divBdr>
    </w:div>
    <w:div w:id="1754929646">
      <w:bodyDiv w:val="1"/>
      <w:marLeft w:val="0"/>
      <w:marRight w:val="0"/>
      <w:marTop w:val="0"/>
      <w:marBottom w:val="0"/>
      <w:divBdr>
        <w:top w:val="none" w:sz="0" w:space="0" w:color="auto"/>
        <w:left w:val="none" w:sz="0" w:space="0" w:color="auto"/>
        <w:bottom w:val="none" w:sz="0" w:space="0" w:color="auto"/>
        <w:right w:val="none" w:sz="0" w:space="0" w:color="auto"/>
      </w:divBdr>
    </w:div>
    <w:div w:id="1882084426">
      <w:bodyDiv w:val="1"/>
      <w:marLeft w:val="0"/>
      <w:marRight w:val="0"/>
      <w:marTop w:val="0"/>
      <w:marBottom w:val="0"/>
      <w:divBdr>
        <w:top w:val="none" w:sz="0" w:space="0" w:color="auto"/>
        <w:left w:val="none" w:sz="0" w:space="0" w:color="auto"/>
        <w:bottom w:val="none" w:sz="0" w:space="0" w:color="auto"/>
        <w:right w:val="none" w:sz="0" w:space="0" w:color="auto"/>
      </w:divBdr>
    </w:div>
    <w:div w:id="20445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eltbund.at/information/haeufige-fragen-fa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statistik.at/web_de/statistiken/menschen_und_gesellschaft/bevoelkerung/internationale_uebersich/036450.html" TargetMode="Externa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atistik.at/web_de/statistiken/menschen_und_gesellschaft/bevoelkerung/internationale_uebersich/036450.html" TargetMode="Externa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2" Type="http://schemas.openxmlformats.org/officeDocument/2006/relationships/hyperlink" Target="https://www.weltbund.at/information/haeufige-fragen-faq/" TargetMode="External"/><Relationship Id="rId1" Type="http://schemas.openxmlformats.org/officeDocument/2006/relationships/hyperlink" Target="http://www.statistik.at/web_de/statistiken/menschen_und_gesellschaft/bevoelkerung/internationale_uebersich/03645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na\Downloads\Formatvorlagen%20zur%20Berichtserstellung.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Arbeit\AOEWB_Haller_Dez2019\AOEWB-Umfragenauswertung_Gundl.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G:\Arbeit\AOEWB_Haller_Dez2019\AOEWB-Umfragenauswertung_Gundl.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G:\Arbeit\AOEWB_Haller_Dez2019\AOEWB-Umfragenauswertung_Gundl.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G:\Arbeit\AOEWB_Haller_Dez2019\AOEWB-Umfragenauswertung_Gundl.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G:\Arbeit\AOEWB_Haller_Dez2019\AOEWB-Umfragenauswertung_Gund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600"/>
            </a:pPr>
            <a:r>
              <a:rPr lang="de-AT" sz="1600"/>
              <a:t>Anteil der Befragten in %, für die das Thema Staatsbürgerschaft (sehr) wichtig ist</a:t>
            </a:r>
          </a:p>
        </c:rich>
      </c:tx>
      <c:layout/>
      <c:overlay val="1"/>
    </c:title>
    <c:autoTitleDeleted val="0"/>
    <c:plotArea>
      <c:layout>
        <c:manualLayout>
          <c:layoutTarget val="inner"/>
          <c:xMode val="edge"/>
          <c:yMode val="edge"/>
          <c:x val="0.44807512138139"/>
          <c:y val="0.23815925026662735"/>
          <c:w val="0.51404908454800369"/>
          <c:h val="0.646978196732236"/>
        </c:manualLayout>
      </c:layout>
      <c:barChart>
        <c:barDir val="bar"/>
        <c:grouping val="stacked"/>
        <c:varyColors val="0"/>
        <c:ser>
          <c:idx val="0"/>
          <c:order val="0"/>
          <c:tx>
            <c:strRef>
              <c:f>tab_Q4!$P$60</c:f>
              <c:strCache>
                <c:ptCount val="1"/>
                <c:pt idx="0">
                  <c:v>Sehr wichtig</c:v>
                </c:pt>
              </c:strCache>
            </c:strRef>
          </c:tx>
          <c:spPr>
            <a:solidFill>
              <a:schemeClr val="tx1"/>
            </a:solidFill>
          </c:spPr>
          <c:invertIfNegative val="0"/>
          <c:dLbls>
            <c:txPr>
              <a:bodyPr/>
              <a:lstStyle/>
              <a:p>
                <a:pPr>
                  <a:defRPr>
                    <a:solidFill>
                      <a:schemeClr val="bg1"/>
                    </a:solidFill>
                  </a:defRPr>
                </a:pPr>
                <a:endParaRPr lang="de-DE"/>
              </a:p>
            </c:txPr>
            <c:showLegendKey val="0"/>
            <c:showVal val="1"/>
            <c:showCatName val="0"/>
            <c:showSerName val="0"/>
            <c:showPercent val="0"/>
            <c:showBubbleSize val="0"/>
            <c:showLeaderLines val="0"/>
          </c:dLbls>
          <c:cat>
            <c:multiLvlStrRef>
              <c:f>tab_Q4!$N$61:$O$66</c:f>
              <c:multiLvlStrCache>
                <c:ptCount val="6"/>
                <c:lvl>
                  <c:pt idx="0">
                    <c:v>0 bis 10 Jahre</c:v>
                  </c:pt>
                  <c:pt idx="1">
                    <c:v>11 bis 20 Jahre</c:v>
                  </c:pt>
                  <c:pt idx="2">
                    <c:v>mehr als 20 Jahre</c:v>
                  </c:pt>
                  <c:pt idx="3">
                    <c:v>kein Schulabschluss, Grundschule, Berufsausbildung</c:v>
                  </c:pt>
                  <c:pt idx="4">
                    <c:v>Matura, Fachausbildung</c:v>
                  </c:pt>
                  <c:pt idx="5">
                    <c:v>Hochschule</c:v>
                  </c:pt>
                </c:lvl>
                <c:lvl>
                  <c:pt idx="0">
                    <c:v>Aufenthaltsdauer im Gastland</c:v>
                  </c:pt>
                  <c:pt idx="3">
                    <c:v>Höchster Bildungsabschluss</c:v>
                  </c:pt>
                </c:lvl>
              </c:multiLvlStrCache>
            </c:multiLvlStrRef>
          </c:cat>
          <c:val>
            <c:numRef>
              <c:f>tab_Q4!$P$61:$P$66</c:f>
              <c:numCache>
                <c:formatCode>0</c:formatCode>
                <c:ptCount val="6"/>
                <c:pt idx="0">
                  <c:v>51.004636785162283</c:v>
                </c:pt>
                <c:pt idx="1">
                  <c:v>58.61486486486487</c:v>
                </c:pt>
                <c:pt idx="2">
                  <c:v>61.855670103092784</c:v>
                </c:pt>
                <c:pt idx="3">
                  <c:v>65.964912280701753</c:v>
                </c:pt>
                <c:pt idx="4">
                  <c:v>62.783661119515891</c:v>
                </c:pt>
                <c:pt idx="5">
                  <c:v>54.307909604519779</c:v>
                </c:pt>
              </c:numCache>
            </c:numRef>
          </c:val>
        </c:ser>
        <c:ser>
          <c:idx val="1"/>
          <c:order val="1"/>
          <c:tx>
            <c:strRef>
              <c:f>tab_Q4!$Q$60</c:f>
              <c:strCache>
                <c:ptCount val="1"/>
                <c:pt idx="0">
                  <c:v>Eher wichtig</c:v>
                </c:pt>
              </c:strCache>
            </c:strRef>
          </c:tx>
          <c:spPr>
            <a:solidFill>
              <a:schemeClr val="tx1">
                <a:lumMod val="50000"/>
                <a:lumOff val="50000"/>
              </a:schemeClr>
            </a:solidFill>
          </c:spPr>
          <c:invertIfNegative val="0"/>
          <c:dLbls>
            <c:txPr>
              <a:bodyPr/>
              <a:lstStyle/>
              <a:p>
                <a:pPr>
                  <a:defRPr>
                    <a:solidFill>
                      <a:schemeClr val="bg1"/>
                    </a:solidFill>
                  </a:defRPr>
                </a:pPr>
                <a:endParaRPr lang="de-DE"/>
              </a:p>
            </c:txPr>
            <c:showLegendKey val="0"/>
            <c:showVal val="1"/>
            <c:showCatName val="0"/>
            <c:showSerName val="0"/>
            <c:showPercent val="0"/>
            <c:showBubbleSize val="0"/>
            <c:showLeaderLines val="0"/>
          </c:dLbls>
          <c:cat>
            <c:multiLvlStrRef>
              <c:f>tab_Q4!$N$61:$O$66</c:f>
              <c:multiLvlStrCache>
                <c:ptCount val="6"/>
                <c:lvl>
                  <c:pt idx="0">
                    <c:v>0 bis 10 Jahre</c:v>
                  </c:pt>
                  <c:pt idx="1">
                    <c:v>11 bis 20 Jahre</c:v>
                  </c:pt>
                  <c:pt idx="2">
                    <c:v>mehr als 20 Jahre</c:v>
                  </c:pt>
                  <c:pt idx="3">
                    <c:v>kein Schulabschluss, Grundschule, Berufsausbildung</c:v>
                  </c:pt>
                  <c:pt idx="4">
                    <c:v>Matura, Fachausbildung</c:v>
                  </c:pt>
                  <c:pt idx="5">
                    <c:v>Hochschule</c:v>
                  </c:pt>
                </c:lvl>
                <c:lvl>
                  <c:pt idx="0">
                    <c:v>Aufenthaltsdauer im Gastland</c:v>
                  </c:pt>
                  <c:pt idx="3">
                    <c:v>Höchster Bildungsabschluss</c:v>
                  </c:pt>
                </c:lvl>
              </c:multiLvlStrCache>
            </c:multiLvlStrRef>
          </c:cat>
          <c:val>
            <c:numRef>
              <c:f>tab_Q4!$Q$61:$Q$66</c:f>
              <c:numCache>
                <c:formatCode>0</c:formatCode>
                <c:ptCount val="6"/>
                <c:pt idx="0">
                  <c:v>36.012364760432767</c:v>
                </c:pt>
                <c:pt idx="1">
                  <c:v>33.277027027027032</c:v>
                </c:pt>
                <c:pt idx="2">
                  <c:v>28.60824742268041</c:v>
                </c:pt>
                <c:pt idx="3">
                  <c:v>22.807017543859647</c:v>
                </c:pt>
                <c:pt idx="4">
                  <c:v>28.593040847201213</c:v>
                </c:pt>
                <c:pt idx="5">
                  <c:v>35.028248587570623</c:v>
                </c:pt>
              </c:numCache>
            </c:numRef>
          </c:val>
        </c:ser>
        <c:ser>
          <c:idx val="2"/>
          <c:order val="2"/>
          <c:tx>
            <c:strRef>
              <c:f>tab_Q4!$R$60</c:f>
              <c:strCache>
                <c:ptCount val="1"/>
                <c:pt idx="0">
                  <c:v>Weniger wichtig</c:v>
                </c:pt>
              </c:strCache>
            </c:strRef>
          </c:tx>
          <c:spPr>
            <a:solidFill>
              <a:schemeClr val="bg1">
                <a:lumMod val="75000"/>
              </a:schemeClr>
            </a:solidFill>
          </c:spPr>
          <c:invertIfNegative val="0"/>
          <c:dLbls>
            <c:delete val="1"/>
          </c:dLbls>
          <c:cat>
            <c:multiLvlStrRef>
              <c:f>tab_Q4!$N$61:$O$66</c:f>
              <c:multiLvlStrCache>
                <c:ptCount val="6"/>
                <c:lvl>
                  <c:pt idx="0">
                    <c:v>0 bis 10 Jahre</c:v>
                  </c:pt>
                  <c:pt idx="1">
                    <c:v>11 bis 20 Jahre</c:v>
                  </c:pt>
                  <c:pt idx="2">
                    <c:v>mehr als 20 Jahre</c:v>
                  </c:pt>
                  <c:pt idx="3">
                    <c:v>kein Schulabschluss, Grundschule, Berufsausbildung</c:v>
                  </c:pt>
                  <c:pt idx="4">
                    <c:v>Matura, Fachausbildung</c:v>
                  </c:pt>
                  <c:pt idx="5">
                    <c:v>Hochschule</c:v>
                  </c:pt>
                </c:lvl>
                <c:lvl>
                  <c:pt idx="0">
                    <c:v>Aufenthaltsdauer im Gastland</c:v>
                  </c:pt>
                  <c:pt idx="3">
                    <c:v>Höchster Bildungsabschluss</c:v>
                  </c:pt>
                </c:lvl>
              </c:multiLvlStrCache>
            </c:multiLvlStrRef>
          </c:cat>
          <c:val>
            <c:numRef>
              <c:f>tab_Q4!$R$61:$R$66</c:f>
              <c:numCache>
                <c:formatCode>0</c:formatCode>
                <c:ptCount val="6"/>
                <c:pt idx="0">
                  <c:v>10.200927357032457</c:v>
                </c:pt>
                <c:pt idx="1">
                  <c:v>7.0945945945945947</c:v>
                </c:pt>
                <c:pt idx="2">
                  <c:v>8.1615120274914084</c:v>
                </c:pt>
                <c:pt idx="3">
                  <c:v>8.0701754385964914</c:v>
                </c:pt>
                <c:pt idx="4">
                  <c:v>7.4130105900151291</c:v>
                </c:pt>
                <c:pt idx="5">
                  <c:v>9.1807909604519775</c:v>
                </c:pt>
              </c:numCache>
            </c:numRef>
          </c:val>
        </c:ser>
        <c:ser>
          <c:idx val="3"/>
          <c:order val="3"/>
          <c:tx>
            <c:strRef>
              <c:f>tab_Q4!$S$60</c:f>
              <c:strCache>
                <c:ptCount val="1"/>
                <c:pt idx="0">
                  <c:v>Gar nicht wichtig</c:v>
                </c:pt>
              </c:strCache>
            </c:strRef>
          </c:tx>
          <c:spPr>
            <a:solidFill>
              <a:schemeClr val="bg1">
                <a:lumMod val="95000"/>
              </a:schemeClr>
            </a:solidFill>
          </c:spPr>
          <c:invertIfNegative val="0"/>
          <c:dLbls>
            <c:delete val="1"/>
          </c:dLbls>
          <c:cat>
            <c:multiLvlStrRef>
              <c:f>tab_Q4!$N$61:$O$66</c:f>
              <c:multiLvlStrCache>
                <c:ptCount val="6"/>
                <c:lvl>
                  <c:pt idx="0">
                    <c:v>0 bis 10 Jahre</c:v>
                  </c:pt>
                  <c:pt idx="1">
                    <c:v>11 bis 20 Jahre</c:v>
                  </c:pt>
                  <c:pt idx="2">
                    <c:v>mehr als 20 Jahre</c:v>
                  </c:pt>
                  <c:pt idx="3">
                    <c:v>kein Schulabschluss, Grundschule, Berufsausbildung</c:v>
                  </c:pt>
                  <c:pt idx="4">
                    <c:v>Matura, Fachausbildung</c:v>
                  </c:pt>
                  <c:pt idx="5">
                    <c:v>Hochschule</c:v>
                  </c:pt>
                </c:lvl>
                <c:lvl>
                  <c:pt idx="0">
                    <c:v>Aufenthaltsdauer im Gastland</c:v>
                  </c:pt>
                  <c:pt idx="3">
                    <c:v>Höchster Bildungsabschluss</c:v>
                  </c:pt>
                </c:lvl>
              </c:multiLvlStrCache>
            </c:multiLvlStrRef>
          </c:cat>
          <c:val>
            <c:numRef>
              <c:f>tab_Q4!$S$61:$S$66</c:f>
              <c:numCache>
                <c:formatCode>0</c:formatCode>
                <c:ptCount val="6"/>
                <c:pt idx="0">
                  <c:v>2.7820710973724885</c:v>
                </c:pt>
                <c:pt idx="1">
                  <c:v>1.0135135135135136</c:v>
                </c:pt>
                <c:pt idx="2">
                  <c:v>1.3745704467353952</c:v>
                </c:pt>
                <c:pt idx="3">
                  <c:v>3.1578947368421053</c:v>
                </c:pt>
                <c:pt idx="4">
                  <c:v>1.2102874432677762</c:v>
                </c:pt>
                <c:pt idx="5">
                  <c:v>1.4830508474576272</c:v>
                </c:pt>
              </c:numCache>
            </c:numRef>
          </c:val>
        </c:ser>
        <c:dLbls>
          <c:showLegendKey val="0"/>
          <c:showVal val="1"/>
          <c:showCatName val="0"/>
          <c:showSerName val="0"/>
          <c:showPercent val="0"/>
          <c:showBubbleSize val="0"/>
        </c:dLbls>
        <c:gapWidth val="100"/>
        <c:overlap val="100"/>
        <c:axId val="199765376"/>
        <c:axId val="189252736"/>
      </c:barChart>
      <c:catAx>
        <c:axId val="199765376"/>
        <c:scaling>
          <c:orientation val="maxMin"/>
        </c:scaling>
        <c:delete val="0"/>
        <c:axPos val="l"/>
        <c:majorTickMark val="out"/>
        <c:minorTickMark val="none"/>
        <c:tickLblPos val="nextTo"/>
        <c:crossAx val="189252736"/>
        <c:crosses val="autoZero"/>
        <c:auto val="1"/>
        <c:lblAlgn val="ctr"/>
        <c:lblOffset val="100"/>
        <c:noMultiLvlLbl val="0"/>
      </c:catAx>
      <c:valAx>
        <c:axId val="189252736"/>
        <c:scaling>
          <c:orientation val="minMax"/>
          <c:max val="100"/>
        </c:scaling>
        <c:delete val="0"/>
        <c:axPos val="t"/>
        <c:numFmt formatCode="0" sourceLinked="1"/>
        <c:majorTickMark val="out"/>
        <c:minorTickMark val="none"/>
        <c:tickLblPos val="nextTo"/>
        <c:crossAx val="199765376"/>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600"/>
            </a:pPr>
            <a:r>
              <a:rPr lang="de-AT"/>
              <a:t>Anteil der Befragten in %, für die das Thema Staatsbürgerschaft (sehr) wichtig ist: Aufenthaltsland</a:t>
            </a:r>
          </a:p>
        </c:rich>
      </c:tx>
      <c:layout/>
      <c:overlay val="1"/>
    </c:title>
    <c:autoTitleDeleted val="0"/>
    <c:plotArea>
      <c:layout>
        <c:manualLayout>
          <c:layoutTarget val="inner"/>
          <c:xMode val="edge"/>
          <c:yMode val="edge"/>
          <c:x val="0.2363912554006124"/>
          <c:y val="0.23815925026662735"/>
          <c:w val="0.73198846711850896"/>
          <c:h val="0.646978196732236"/>
        </c:manualLayout>
      </c:layout>
      <c:barChart>
        <c:barDir val="bar"/>
        <c:grouping val="stacked"/>
        <c:varyColors val="0"/>
        <c:ser>
          <c:idx val="0"/>
          <c:order val="0"/>
          <c:tx>
            <c:strRef>
              <c:f>tab_Q4!$P$71</c:f>
              <c:strCache>
                <c:ptCount val="1"/>
                <c:pt idx="0">
                  <c:v>Sehr wichtig</c:v>
                </c:pt>
              </c:strCache>
            </c:strRef>
          </c:tx>
          <c:spPr>
            <a:solidFill>
              <a:schemeClr val="tx1"/>
            </a:solidFill>
          </c:spPr>
          <c:invertIfNegative val="0"/>
          <c:dLbls>
            <c:txPr>
              <a:bodyPr/>
              <a:lstStyle/>
              <a:p>
                <a:pPr>
                  <a:defRPr>
                    <a:solidFill>
                      <a:schemeClr val="bg1"/>
                    </a:solidFill>
                  </a:defRPr>
                </a:pPr>
                <a:endParaRPr lang="de-DE"/>
              </a:p>
            </c:txPr>
            <c:showLegendKey val="0"/>
            <c:showVal val="1"/>
            <c:showCatName val="0"/>
            <c:showSerName val="0"/>
            <c:showPercent val="0"/>
            <c:showBubbleSize val="0"/>
            <c:showLeaderLines val="0"/>
          </c:dLbls>
          <c:cat>
            <c:strRef>
              <c:f>tab_Q4!$O$72:$O$81</c:f>
              <c:strCache>
                <c:ptCount val="10"/>
                <c:pt idx="0">
                  <c:v>Europa: EU</c:v>
                </c:pt>
                <c:pt idx="1">
                  <c:v>Europa: Nicht EU</c:v>
                </c:pt>
                <c:pt idx="2">
                  <c:v>UK</c:v>
                </c:pt>
                <c:pt idx="3">
                  <c:v>Nordamerika</c:v>
                </c:pt>
                <c:pt idx="4">
                  <c:v>Südamerika</c:v>
                </c:pt>
                <c:pt idx="5">
                  <c:v>Zentralamerika</c:v>
                </c:pt>
                <c:pt idx="6">
                  <c:v>Mittlerer Osten</c:v>
                </c:pt>
                <c:pt idx="7">
                  <c:v>Ferner Osten</c:v>
                </c:pt>
                <c:pt idx="8">
                  <c:v>Australien - Ozeanien</c:v>
                </c:pt>
                <c:pt idx="9">
                  <c:v>Afrika</c:v>
                </c:pt>
              </c:strCache>
            </c:strRef>
          </c:cat>
          <c:val>
            <c:numRef>
              <c:f>tab_Q4!$P$72:$P$81</c:f>
              <c:numCache>
                <c:formatCode>0</c:formatCode>
                <c:ptCount val="10"/>
                <c:pt idx="0">
                  <c:v>49.9</c:v>
                </c:pt>
                <c:pt idx="1">
                  <c:v>55.400000000000006</c:v>
                </c:pt>
                <c:pt idx="2">
                  <c:v>62.9</c:v>
                </c:pt>
                <c:pt idx="3">
                  <c:v>71.099999999999994</c:v>
                </c:pt>
                <c:pt idx="4">
                  <c:v>44.9</c:v>
                </c:pt>
                <c:pt idx="5">
                  <c:v>66.7</c:v>
                </c:pt>
                <c:pt idx="6">
                  <c:v>64.3</c:v>
                </c:pt>
                <c:pt idx="7">
                  <c:v>53.7</c:v>
                </c:pt>
                <c:pt idx="8">
                  <c:v>75.900000000000006</c:v>
                </c:pt>
                <c:pt idx="9">
                  <c:v>65.5</c:v>
                </c:pt>
              </c:numCache>
            </c:numRef>
          </c:val>
        </c:ser>
        <c:ser>
          <c:idx val="1"/>
          <c:order val="1"/>
          <c:tx>
            <c:strRef>
              <c:f>tab_Q4!$Q$71</c:f>
              <c:strCache>
                <c:ptCount val="1"/>
                <c:pt idx="0">
                  <c:v>Eher wichtig</c:v>
                </c:pt>
              </c:strCache>
            </c:strRef>
          </c:tx>
          <c:spPr>
            <a:solidFill>
              <a:schemeClr val="tx1">
                <a:lumMod val="50000"/>
                <a:lumOff val="50000"/>
              </a:schemeClr>
            </a:solidFill>
          </c:spPr>
          <c:invertIfNegative val="0"/>
          <c:dLbls>
            <c:txPr>
              <a:bodyPr/>
              <a:lstStyle/>
              <a:p>
                <a:pPr>
                  <a:defRPr>
                    <a:solidFill>
                      <a:schemeClr val="bg1"/>
                    </a:solidFill>
                  </a:defRPr>
                </a:pPr>
                <a:endParaRPr lang="de-DE"/>
              </a:p>
            </c:txPr>
            <c:showLegendKey val="0"/>
            <c:showVal val="1"/>
            <c:showCatName val="0"/>
            <c:showSerName val="0"/>
            <c:showPercent val="0"/>
            <c:showBubbleSize val="0"/>
            <c:showLeaderLines val="0"/>
          </c:dLbls>
          <c:cat>
            <c:strRef>
              <c:f>tab_Q4!$O$72:$O$81</c:f>
              <c:strCache>
                <c:ptCount val="10"/>
                <c:pt idx="0">
                  <c:v>Europa: EU</c:v>
                </c:pt>
                <c:pt idx="1">
                  <c:v>Europa: Nicht EU</c:v>
                </c:pt>
                <c:pt idx="2">
                  <c:v>UK</c:v>
                </c:pt>
                <c:pt idx="3">
                  <c:v>Nordamerika</c:v>
                </c:pt>
                <c:pt idx="4">
                  <c:v>Südamerika</c:v>
                </c:pt>
                <c:pt idx="5">
                  <c:v>Zentralamerika</c:v>
                </c:pt>
                <c:pt idx="6">
                  <c:v>Mittlerer Osten</c:v>
                </c:pt>
                <c:pt idx="7">
                  <c:v>Ferner Osten</c:v>
                </c:pt>
                <c:pt idx="8">
                  <c:v>Australien - Ozeanien</c:v>
                </c:pt>
                <c:pt idx="9">
                  <c:v>Afrika</c:v>
                </c:pt>
              </c:strCache>
            </c:strRef>
          </c:cat>
          <c:val>
            <c:numRef>
              <c:f>tab_Q4!$Q$72:$Q$81</c:f>
              <c:numCache>
                <c:formatCode>0</c:formatCode>
                <c:ptCount val="10"/>
                <c:pt idx="0">
                  <c:v>35.9</c:v>
                </c:pt>
                <c:pt idx="1">
                  <c:v>32.4</c:v>
                </c:pt>
                <c:pt idx="2">
                  <c:v>30</c:v>
                </c:pt>
                <c:pt idx="3">
                  <c:v>23.799999999999997</c:v>
                </c:pt>
                <c:pt idx="4">
                  <c:v>51</c:v>
                </c:pt>
                <c:pt idx="5">
                  <c:v>25</c:v>
                </c:pt>
                <c:pt idx="6">
                  <c:v>28.599999999999998</c:v>
                </c:pt>
                <c:pt idx="7">
                  <c:v>37.299999999999997</c:v>
                </c:pt>
                <c:pt idx="8">
                  <c:v>22</c:v>
                </c:pt>
                <c:pt idx="9">
                  <c:v>24.099999999999998</c:v>
                </c:pt>
              </c:numCache>
            </c:numRef>
          </c:val>
        </c:ser>
        <c:ser>
          <c:idx val="2"/>
          <c:order val="2"/>
          <c:tx>
            <c:strRef>
              <c:f>tab_Q4!$R$71</c:f>
              <c:strCache>
                <c:ptCount val="1"/>
                <c:pt idx="0">
                  <c:v>Weniger wichtig</c:v>
                </c:pt>
              </c:strCache>
            </c:strRef>
          </c:tx>
          <c:spPr>
            <a:solidFill>
              <a:sysClr val="window" lastClr="FFFFFF">
                <a:lumMod val="75000"/>
              </a:sysClr>
            </a:solidFill>
          </c:spPr>
          <c:invertIfNegative val="0"/>
          <c:dLbls>
            <c:delete val="1"/>
          </c:dLbls>
          <c:cat>
            <c:strRef>
              <c:f>tab_Q4!$O$72:$O$81</c:f>
              <c:strCache>
                <c:ptCount val="10"/>
                <c:pt idx="0">
                  <c:v>Europa: EU</c:v>
                </c:pt>
                <c:pt idx="1">
                  <c:v>Europa: Nicht EU</c:v>
                </c:pt>
                <c:pt idx="2">
                  <c:v>UK</c:v>
                </c:pt>
                <c:pt idx="3">
                  <c:v>Nordamerika</c:v>
                </c:pt>
                <c:pt idx="4">
                  <c:v>Südamerika</c:v>
                </c:pt>
                <c:pt idx="5">
                  <c:v>Zentralamerika</c:v>
                </c:pt>
                <c:pt idx="6">
                  <c:v>Mittlerer Osten</c:v>
                </c:pt>
                <c:pt idx="7">
                  <c:v>Ferner Osten</c:v>
                </c:pt>
                <c:pt idx="8">
                  <c:v>Australien - Ozeanien</c:v>
                </c:pt>
                <c:pt idx="9">
                  <c:v>Afrika</c:v>
                </c:pt>
              </c:strCache>
            </c:strRef>
          </c:cat>
          <c:val>
            <c:numRef>
              <c:f>tab_Q4!$R$72:$R$81</c:f>
              <c:numCache>
                <c:formatCode>0</c:formatCode>
                <c:ptCount val="10"/>
                <c:pt idx="0">
                  <c:v>12.1</c:v>
                </c:pt>
                <c:pt idx="1">
                  <c:v>9.8000000000000007</c:v>
                </c:pt>
                <c:pt idx="2">
                  <c:v>6</c:v>
                </c:pt>
                <c:pt idx="3">
                  <c:v>4.2</c:v>
                </c:pt>
                <c:pt idx="4">
                  <c:v>2</c:v>
                </c:pt>
                <c:pt idx="5">
                  <c:v>8.3000000000000007</c:v>
                </c:pt>
                <c:pt idx="6">
                  <c:v>7.1</c:v>
                </c:pt>
                <c:pt idx="7">
                  <c:v>4.5</c:v>
                </c:pt>
                <c:pt idx="8">
                  <c:v>2.1</c:v>
                </c:pt>
                <c:pt idx="9">
                  <c:v>10.299999999999999</c:v>
                </c:pt>
              </c:numCache>
            </c:numRef>
          </c:val>
        </c:ser>
        <c:ser>
          <c:idx val="3"/>
          <c:order val="3"/>
          <c:tx>
            <c:strRef>
              <c:f>tab_Q4!$S$71</c:f>
              <c:strCache>
                <c:ptCount val="1"/>
                <c:pt idx="0">
                  <c:v>Gar nicht wichtig</c:v>
                </c:pt>
              </c:strCache>
            </c:strRef>
          </c:tx>
          <c:spPr>
            <a:solidFill>
              <a:sysClr val="window" lastClr="FFFFFF">
                <a:lumMod val="95000"/>
              </a:sysClr>
            </a:solidFill>
          </c:spPr>
          <c:invertIfNegative val="0"/>
          <c:dLbls>
            <c:delete val="1"/>
          </c:dLbls>
          <c:cat>
            <c:strRef>
              <c:f>tab_Q4!$O$72:$O$81</c:f>
              <c:strCache>
                <c:ptCount val="10"/>
                <c:pt idx="0">
                  <c:v>Europa: EU</c:v>
                </c:pt>
                <c:pt idx="1">
                  <c:v>Europa: Nicht EU</c:v>
                </c:pt>
                <c:pt idx="2">
                  <c:v>UK</c:v>
                </c:pt>
                <c:pt idx="3">
                  <c:v>Nordamerika</c:v>
                </c:pt>
                <c:pt idx="4">
                  <c:v>Südamerika</c:v>
                </c:pt>
                <c:pt idx="5">
                  <c:v>Zentralamerika</c:v>
                </c:pt>
                <c:pt idx="6">
                  <c:v>Mittlerer Osten</c:v>
                </c:pt>
                <c:pt idx="7">
                  <c:v>Ferner Osten</c:v>
                </c:pt>
                <c:pt idx="8">
                  <c:v>Australien - Ozeanien</c:v>
                </c:pt>
                <c:pt idx="9">
                  <c:v>Afrika</c:v>
                </c:pt>
              </c:strCache>
            </c:strRef>
          </c:cat>
          <c:val>
            <c:numRef>
              <c:f>tab_Q4!$S$72:$S$81</c:f>
              <c:numCache>
                <c:formatCode>0</c:formatCode>
                <c:ptCount val="10"/>
                <c:pt idx="0">
                  <c:v>2</c:v>
                </c:pt>
                <c:pt idx="1">
                  <c:v>2.4</c:v>
                </c:pt>
                <c:pt idx="2">
                  <c:v>1.0999999999999999</c:v>
                </c:pt>
                <c:pt idx="3">
                  <c:v>1</c:v>
                </c:pt>
                <c:pt idx="4">
                  <c:v>2</c:v>
                </c:pt>
                <c:pt idx="5">
                  <c:v>0</c:v>
                </c:pt>
                <c:pt idx="6">
                  <c:v>0</c:v>
                </c:pt>
                <c:pt idx="7">
                  <c:v>4.5</c:v>
                </c:pt>
                <c:pt idx="8">
                  <c:v>0</c:v>
                </c:pt>
                <c:pt idx="9">
                  <c:v>0</c:v>
                </c:pt>
              </c:numCache>
            </c:numRef>
          </c:val>
        </c:ser>
        <c:dLbls>
          <c:showLegendKey val="0"/>
          <c:showVal val="1"/>
          <c:showCatName val="0"/>
          <c:showSerName val="0"/>
          <c:showPercent val="0"/>
          <c:showBubbleSize val="0"/>
        </c:dLbls>
        <c:gapWidth val="80"/>
        <c:overlap val="100"/>
        <c:axId val="199958528"/>
        <c:axId val="199960064"/>
      </c:barChart>
      <c:catAx>
        <c:axId val="199958528"/>
        <c:scaling>
          <c:orientation val="maxMin"/>
        </c:scaling>
        <c:delete val="0"/>
        <c:axPos val="l"/>
        <c:majorTickMark val="out"/>
        <c:minorTickMark val="none"/>
        <c:tickLblPos val="nextTo"/>
        <c:crossAx val="199960064"/>
        <c:crosses val="autoZero"/>
        <c:auto val="1"/>
        <c:lblAlgn val="ctr"/>
        <c:lblOffset val="100"/>
        <c:noMultiLvlLbl val="0"/>
      </c:catAx>
      <c:valAx>
        <c:axId val="199960064"/>
        <c:scaling>
          <c:orientation val="minMax"/>
          <c:max val="100"/>
        </c:scaling>
        <c:delete val="0"/>
        <c:axPos val="t"/>
        <c:numFmt formatCode="0" sourceLinked="1"/>
        <c:majorTickMark val="out"/>
        <c:minorTickMark val="none"/>
        <c:tickLblPos val="nextTo"/>
        <c:crossAx val="199958528"/>
        <c:crosses val="autoZero"/>
        <c:crossBetween val="between"/>
      </c:valAx>
    </c:plotArea>
    <c:legend>
      <c:legendPos val="b"/>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de-AT"/>
              <a:t>Wunsch nach erleichtertem</a:t>
            </a:r>
            <a:r>
              <a:rPr lang="de-AT" baseline="0"/>
              <a:t> </a:t>
            </a:r>
            <a:r>
              <a:rPr lang="de-AT"/>
              <a:t>Zugang zu Doppelstaatsbürgerschaft in %</a:t>
            </a:r>
          </a:p>
        </c:rich>
      </c:tx>
      <c:layout/>
      <c:overlay val="0"/>
    </c:title>
    <c:autoTitleDeleted val="0"/>
    <c:plotArea>
      <c:layout/>
      <c:barChart>
        <c:barDir val="bar"/>
        <c:grouping val="clustered"/>
        <c:varyColors val="0"/>
        <c:ser>
          <c:idx val="0"/>
          <c:order val="0"/>
          <c:tx>
            <c:v>"Stimme sehr zu"</c:v>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tab_Q53!$C$16:$M$16</c:f>
              <c:strCache>
                <c:ptCount val="11"/>
                <c:pt idx="0">
                  <c:v>Europa: EU</c:v>
                </c:pt>
                <c:pt idx="1">
                  <c:v>Europa: Nicht EU</c:v>
                </c:pt>
                <c:pt idx="2">
                  <c:v>UK</c:v>
                </c:pt>
                <c:pt idx="3">
                  <c:v>Nordamerika</c:v>
                </c:pt>
                <c:pt idx="4">
                  <c:v>Südamerika</c:v>
                </c:pt>
                <c:pt idx="5">
                  <c:v>Zentralamerika</c:v>
                </c:pt>
                <c:pt idx="6">
                  <c:v>Mittlerer Osten</c:v>
                </c:pt>
                <c:pt idx="7">
                  <c:v>Ferner Osten</c:v>
                </c:pt>
                <c:pt idx="8">
                  <c:v>Australien - Ozeanien</c:v>
                </c:pt>
                <c:pt idx="9">
                  <c:v>Afrika</c:v>
                </c:pt>
                <c:pt idx="10">
                  <c:v>Gesamt</c:v>
                </c:pt>
              </c:strCache>
            </c:strRef>
          </c:cat>
          <c:val>
            <c:numRef>
              <c:f>tab_Q53!$C$17:$M$17</c:f>
              <c:numCache>
                <c:formatCode>0</c:formatCode>
                <c:ptCount val="11"/>
                <c:pt idx="0">
                  <c:v>56.499999999999993</c:v>
                </c:pt>
                <c:pt idx="1">
                  <c:v>77.5</c:v>
                </c:pt>
                <c:pt idx="2">
                  <c:v>86.3</c:v>
                </c:pt>
                <c:pt idx="3">
                  <c:v>87.7</c:v>
                </c:pt>
                <c:pt idx="4">
                  <c:v>65.2</c:v>
                </c:pt>
                <c:pt idx="5">
                  <c:v>66.7</c:v>
                </c:pt>
                <c:pt idx="6">
                  <c:v>50</c:v>
                </c:pt>
                <c:pt idx="7">
                  <c:v>64.2</c:v>
                </c:pt>
                <c:pt idx="8">
                  <c:v>90.8</c:v>
                </c:pt>
                <c:pt idx="9">
                  <c:v>57.099999999999994</c:v>
                </c:pt>
                <c:pt idx="10">
                  <c:v>71.599999999999994</c:v>
                </c:pt>
              </c:numCache>
            </c:numRef>
          </c:val>
          <c:extLst xmlns:c16r2="http://schemas.microsoft.com/office/drawing/2015/06/chart">
            <c:ext xmlns:c16="http://schemas.microsoft.com/office/drawing/2014/chart" uri="{C3380CC4-5D6E-409C-BE32-E72D297353CC}">
              <c16:uniqueId val="{00000000-04D1-4425-AAB4-A4D624F01A3C}"/>
            </c:ext>
          </c:extLst>
        </c:ser>
        <c:dLbls>
          <c:showLegendKey val="0"/>
          <c:showVal val="1"/>
          <c:showCatName val="0"/>
          <c:showSerName val="0"/>
          <c:showPercent val="0"/>
          <c:showBubbleSize val="0"/>
        </c:dLbls>
        <c:gapWidth val="100"/>
        <c:overlap val="-25"/>
        <c:axId val="199969024"/>
        <c:axId val="199991680"/>
      </c:barChart>
      <c:catAx>
        <c:axId val="199969024"/>
        <c:scaling>
          <c:orientation val="maxMin"/>
        </c:scaling>
        <c:delete val="0"/>
        <c:axPos val="l"/>
        <c:numFmt formatCode="General" sourceLinked="0"/>
        <c:majorTickMark val="none"/>
        <c:minorTickMark val="none"/>
        <c:tickLblPos val="nextTo"/>
        <c:crossAx val="199991680"/>
        <c:crosses val="autoZero"/>
        <c:auto val="1"/>
        <c:lblAlgn val="ctr"/>
        <c:lblOffset val="100"/>
        <c:noMultiLvlLbl val="0"/>
      </c:catAx>
      <c:valAx>
        <c:axId val="199991680"/>
        <c:scaling>
          <c:orientation val="minMax"/>
        </c:scaling>
        <c:delete val="1"/>
        <c:axPos val="t"/>
        <c:numFmt formatCode="0" sourceLinked="1"/>
        <c:majorTickMark val="none"/>
        <c:minorTickMark val="none"/>
        <c:tickLblPos val="nextTo"/>
        <c:crossAx val="199969024"/>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600"/>
            </a:pPr>
            <a:r>
              <a:rPr lang="de-AT"/>
              <a:t>Interesse an Staatsbürgerschaft des Aufenthaltslandes in %</a:t>
            </a:r>
          </a:p>
        </c:rich>
      </c:tx>
      <c:layout/>
      <c:overlay val="1"/>
    </c:title>
    <c:autoTitleDeleted val="0"/>
    <c:plotArea>
      <c:layout>
        <c:manualLayout>
          <c:layoutTarget val="inner"/>
          <c:xMode val="edge"/>
          <c:yMode val="edge"/>
          <c:x val="0.24084402644113931"/>
          <c:y val="0.23358455193100863"/>
          <c:w val="0.72128015248093991"/>
          <c:h val="0.67903373952263746"/>
        </c:manualLayout>
      </c:layout>
      <c:barChart>
        <c:barDir val="bar"/>
        <c:grouping val="stacked"/>
        <c:varyColors val="0"/>
        <c:ser>
          <c:idx val="0"/>
          <c:order val="0"/>
          <c:tx>
            <c:strRef>
              <c:f>tab_Q6!$AB$68</c:f>
              <c:strCache>
                <c:ptCount val="1"/>
                <c:pt idx="0">
                  <c:v>Ja*</c:v>
                </c:pt>
              </c:strCache>
            </c:strRef>
          </c:tx>
          <c:spPr>
            <a:solidFill>
              <a:schemeClr val="tx1"/>
            </a:solidFill>
          </c:spPr>
          <c:invertIfNegative val="0"/>
          <c:dLbls>
            <c:txPr>
              <a:bodyPr/>
              <a:lstStyle/>
              <a:p>
                <a:pPr>
                  <a:defRPr>
                    <a:solidFill>
                      <a:schemeClr val="bg1"/>
                    </a:solidFill>
                  </a:defRPr>
                </a:pPr>
                <a:endParaRPr lang="de-DE"/>
              </a:p>
            </c:txPr>
            <c:showLegendKey val="0"/>
            <c:showVal val="1"/>
            <c:showCatName val="0"/>
            <c:showSerName val="0"/>
            <c:showPercent val="0"/>
            <c:showBubbleSize val="0"/>
            <c:showLeaderLines val="0"/>
          </c:dLbls>
          <c:cat>
            <c:strRef>
              <c:f>tab_Q6!$AC$67:$AL$67</c:f>
              <c:strCache>
                <c:ptCount val="10"/>
                <c:pt idx="0">
                  <c:v>Europa: EU</c:v>
                </c:pt>
                <c:pt idx="1">
                  <c:v>Europa: Nicht EU</c:v>
                </c:pt>
                <c:pt idx="2">
                  <c:v>UK</c:v>
                </c:pt>
                <c:pt idx="3">
                  <c:v>Nordamerika</c:v>
                </c:pt>
                <c:pt idx="4">
                  <c:v>Südamerika</c:v>
                </c:pt>
                <c:pt idx="5">
                  <c:v>Zentralamerika</c:v>
                </c:pt>
                <c:pt idx="6">
                  <c:v>Mittlerer Osten</c:v>
                </c:pt>
                <c:pt idx="7">
                  <c:v>Ferner Osten</c:v>
                </c:pt>
                <c:pt idx="8">
                  <c:v>Australien - Ozeanien</c:v>
                </c:pt>
                <c:pt idx="9">
                  <c:v>Afrika</c:v>
                </c:pt>
              </c:strCache>
            </c:strRef>
          </c:cat>
          <c:val>
            <c:numRef>
              <c:f>tab_Q6!$AC$68:$AL$68</c:f>
              <c:numCache>
                <c:formatCode>0</c:formatCode>
                <c:ptCount val="10"/>
                <c:pt idx="0">
                  <c:v>1.9</c:v>
                </c:pt>
                <c:pt idx="1">
                  <c:v>5.2</c:v>
                </c:pt>
                <c:pt idx="2">
                  <c:v>1.2</c:v>
                </c:pt>
                <c:pt idx="3">
                  <c:v>6.9</c:v>
                </c:pt>
                <c:pt idx="4">
                  <c:v>0</c:v>
                </c:pt>
                <c:pt idx="5">
                  <c:v>0</c:v>
                </c:pt>
                <c:pt idx="6">
                  <c:v>4.5</c:v>
                </c:pt>
                <c:pt idx="7">
                  <c:v>1.6</c:v>
                </c:pt>
                <c:pt idx="8">
                  <c:v>0.8</c:v>
                </c:pt>
                <c:pt idx="9">
                  <c:v>0</c:v>
                </c:pt>
              </c:numCache>
            </c:numRef>
          </c:val>
        </c:ser>
        <c:ser>
          <c:idx val="1"/>
          <c:order val="1"/>
          <c:tx>
            <c:strRef>
              <c:f>tab_Q6!$AB$69</c:f>
              <c:strCache>
                <c:ptCount val="1"/>
                <c:pt idx="0">
                  <c:v>Ja, aber**</c:v>
                </c:pt>
              </c:strCache>
            </c:strRef>
          </c:tx>
          <c:spPr>
            <a:solidFill>
              <a:schemeClr val="tx1">
                <a:lumMod val="50000"/>
                <a:lumOff val="50000"/>
              </a:schemeClr>
            </a:solidFill>
          </c:spPr>
          <c:invertIfNegative val="0"/>
          <c:dLbls>
            <c:txPr>
              <a:bodyPr/>
              <a:lstStyle/>
              <a:p>
                <a:pPr>
                  <a:defRPr>
                    <a:solidFill>
                      <a:schemeClr val="bg1"/>
                    </a:solidFill>
                  </a:defRPr>
                </a:pPr>
                <a:endParaRPr lang="de-DE"/>
              </a:p>
            </c:txPr>
            <c:showLegendKey val="0"/>
            <c:showVal val="1"/>
            <c:showCatName val="0"/>
            <c:showSerName val="0"/>
            <c:showPercent val="0"/>
            <c:showBubbleSize val="0"/>
            <c:showLeaderLines val="0"/>
          </c:dLbls>
          <c:cat>
            <c:strRef>
              <c:f>tab_Q6!$AC$67:$AL$67</c:f>
              <c:strCache>
                <c:ptCount val="10"/>
                <c:pt idx="0">
                  <c:v>Europa: EU</c:v>
                </c:pt>
                <c:pt idx="1">
                  <c:v>Europa: Nicht EU</c:v>
                </c:pt>
                <c:pt idx="2">
                  <c:v>UK</c:v>
                </c:pt>
                <c:pt idx="3">
                  <c:v>Nordamerika</c:v>
                </c:pt>
                <c:pt idx="4">
                  <c:v>Südamerika</c:v>
                </c:pt>
                <c:pt idx="5">
                  <c:v>Zentralamerika</c:v>
                </c:pt>
                <c:pt idx="6">
                  <c:v>Mittlerer Osten</c:v>
                </c:pt>
                <c:pt idx="7">
                  <c:v>Ferner Osten</c:v>
                </c:pt>
                <c:pt idx="8">
                  <c:v>Australien - Ozeanien</c:v>
                </c:pt>
                <c:pt idx="9">
                  <c:v>Afrika</c:v>
                </c:pt>
              </c:strCache>
            </c:strRef>
          </c:cat>
          <c:val>
            <c:numRef>
              <c:f>tab_Q6!$AC$69:$AL$69</c:f>
              <c:numCache>
                <c:formatCode>0</c:formatCode>
                <c:ptCount val="10"/>
                <c:pt idx="0">
                  <c:v>59.4</c:v>
                </c:pt>
                <c:pt idx="1">
                  <c:v>74.099999999999994</c:v>
                </c:pt>
                <c:pt idx="2">
                  <c:v>86.9</c:v>
                </c:pt>
                <c:pt idx="3">
                  <c:v>85.6</c:v>
                </c:pt>
                <c:pt idx="4">
                  <c:v>58.5</c:v>
                </c:pt>
                <c:pt idx="5">
                  <c:v>66.7</c:v>
                </c:pt>
                <c:pt idx="6">
                  <c:v>36.4</c:v>
                </c:pt>
                <c:pt idx="7">
                  <c:v>54.800000000000004</c:v>
                </c:pt>
                <c:pt idx="8">
                  <c:v>90.5</c:v>
                </c:pt>
                <c:pt idx="9">
                  <c:v>30.8</c:v>
                </c:pt>
              </c:numCache>
            </c:numRef>
          </c:val>
        </c:ser>
        <c:ser>
          <c:idx val="2"/>
          <c:order val="2"/>
          <c:tx>
            <c:strRef>
              <c:f>tab_Q6!$AB$70</c:f>
              <c:strCache>
                <c:ptCount val="1"/>
                <c:pt idx="0">
                  <c:v>Nein</c:v>
                </c:pt>
              </c:strCache>
            </c:strRef>
          </c:tx>
          <c:spPr>
            <a:solidFill>
              <a:sysClr val="window" lastClr="FFFFFF">
                <a:lumMod val="75000"/>
              </a:sysClr>
            </a:solidFill>
          </c:spPr>
          <c:invertIfNegative val="0"/>
          <c:cat>
            <c:strRef>
              <c:f>tab_Q6!$AC$67:$AL$67</c:f>
              <c:strCache>
                <c:ptCount val="10"/>
                <c:pt idx="0">
                  <c:v>Europa: EU</c:v>
                </c:pt>
                <c:pt idx="1">
                  <c:v>Europa: Nicht EU</c:v>
                </c:pt>
                <c:pt idx="2">
                  <c:v>UK</c:v>
                </c:pt>
                <c:pt idx="3">
                  <c:v>Nordamerika</c:v>
                </c:pt>
                <c:pt idx="4">
                  <c:v>Südamerika</c:v>
                </c:pt>
                <c:pt idx="5">
                  <c:v>Zentralamerika</c:v>
                </c:pt>
                <c:pt idx="6">
                  <c:v>Mittlerer Osten</c:v>
                </c:pt>
                <c:pt idx="7">
                  <c:v>Ferner Osten</c:v>
                </c:pt>
                <c:pt idx="8">
                  <c:v>Australien - Ozeanien</c:v>
                </c:pt>
                <c:pt idx="9">
                  <c:v>Afrika</c:v>
                </c:pt>
              </c:strCache>
            </c:strRef>
          </c:cat>
          <c:val>
            <c:numRef>
              <c:f>tab_Q6!$AC$70:$AL$70</c:f>
              <c:numCache>
                <c:formatCode>0</c:formatCode>
                <c:ptCount val="10"/>
                <c:pt idx="0">
                  <c:v>35.299999999999997</c:v>
                </c:pt>
                <c:pt idx="1">
                  <c:v>19</c:v>
                </c:pt>
                <c:pt idx="2">
                  <c:v>9.3000000000000007</c:v>
                </c:pt>
                <c:pt idx="3">
                  <c:v>5.7</c:v>
                </c:pt>
                <c:pt idx="4">
                  <c:v>36.6</c:v>
                </c:pt>
                <c:pt idx="5">
                  <c:v>25</c:v>
                </c:pt>
                <c:pt idx="6">
                  <c:v>59.099999999999994</c:v>
                </c:pt>
                <c:pt idx="7">
                  <c:v>41.9</c:v>
                </c:pt>
                <c:pt idx="8">
                  <c:v>7.9</c:v>
                </c:pt>
                <c:pt idx="9">
                  <c:v>61.5</c:v>
                </c:pt>
              </c:numCache>
            </c:numRef>
          </c:val>
        </c:ser>
        <c:ser>
          <c:idx val="3"/>
          <c:order val="3"/>
          <c:tx>
            <c:strRef>
              <c:f>tab_Q6!$AB$71</c:f>
              <c:strCache>
                <c:ptCount val="1"/>
                <c:pt idx="0">
                  <c:v>Weiss nicht</c:v>
                </c:pt>
              </c:strCache>
            </c:strRef>
          </c:tx>
          <c:spPr>
            <a:solidFill>
              <a:sysClr val="window" lastClr="FFFFFF">
                <a:lumMod val="95000"/>
              </a:sysClr>
            </a:solidFill>
          </c:spPr>
          <c:invertIfNegative val="0"/>
          <c:dLbls>
            <c:delete val="1"/>
          </c:dLbls>
          <c:cat>
            <c:strRef>
              <c:f>tab_Q6!$AC$67:$AL$67</c:f>
              <c:strCache>
                <c:ptCount val="10"/>
                <c:pt idx="0">
                  <c:v>Europa: EU</c:v>
                </c:pt>
                <c:pt idx="1">
                  <c:v>Europa: Nicht EU</c:v>
                </c:pt>
                <c:pt idx="2">
                  <c:v>UK</c:v>
                </c:pt>
                <c:pt idx="3">
                  <c:v>Nordamerika</c:v>
                </c:pt>
                <c:pt idx="4">
                  <c:v>Südamerika</c:v>
                </c:pt>
                <c:pt idx="5">
                  <c:v>Zentralamerika</c:v>
                </c:pt>
                <c:pt idx="6">
                  <c:v>Mittlerer Osten</c:v>
                </c:pt>
                <c:pt idx="7">
                  <c:v>Ferner Osten</c:v>
                </c:pt>
                <c:pt idx="8">
                  <c:v>Australien - Ozeanien</c:v>
                </c:pt>
                <c:pt idx="9">
                  <c:v>Afrika</c:v>
                </c:pt>
              </c:strCache>
            </c:strRef>
          </c:cat>
          <c:val>
            <c:numRef>
              <c:f>tab_Q6!$AC$71:$AL$71</c:f>
              <c:numCache>
                <c:formatCode>0</c:formatCode>
                <c:ptCount val="10"/>
                <c:pt idx="0">
                  <c:v>3.4000000000000004</c:v>
                </c:pt>
                <c:pt idx="1">
                  <c:v>1.6</c:v>
                </c:pt>
                <c:pt idx="2">
                  <c:v>2.6</c:v>
                </c:pt>
                <c:pt idx="3">
                  <c:v>1.7000000000000002</c:v>
                </c:pt>
                <c:pt idx="4">
                  <c:v>4.9000000000000004</c:v>
                </c:pt>
                <c:pt idx="5">
                  <c:v>8.3000000000000007</c:v>
                </c:pt>
                <c:pt idx="6">
                  <c:v>0</c:v>
                </c:pt>
                <c:pt idx="7">
                  <c:v>1.6</c:v>
                </c:pt>
                <c:pt idx="8">
                  <c:v>0.8</c:v>
                </c:pt>
                <c:pt idx="9">
                  <c:v>7.7</c:v>
                </c:pt>
              </c:numCache>
            </c:numRef>
          </c:val>
        </c:ser>
        <c:dLbls>
          <c:showLegendKey val="0"/>
          <c:showVal val="1"/>
          <c:showCatName val="0"/>
          <c:showSerName val="0"/>
          <c:showPercent val="0"/>
          <c:showBubbleSize val="0"/>
        </c:dLbls>
        <c:gapWidth val="100"/>
        <c:overlap val="100"/>
        <c:axId val="203522816"/>
        <c:axId val="203524352"/>
      </c:barChart>
      <c:catAx>
        <c:axId val="203522816"/>
        <c:scaling>
          <c:orientation val="maxMin"/>
        </c:scaling>
        <c:delete val="0"/>
        <c:axPos val="l"/>
        <c:majorTickMark val="out"/>
        <c:minorTickMark val="none"/>
        <c:tickLblPos val="nextTo"/>
        <c:crossAx val="203524352"/>
        <c:crosses val="autoZero"/>
        <c:auto val="1"/>
        <c:lblAlgn val="ctr"/>
        <c:lblOffset val="100"/>
        <c:noMultiLvlLbl val="0"/>
      </c:catAx>
      <c:valAx>
        <c:axId val="203524352"/>
        <c:scaling>
          <c:orientation val="minMax"/>
          <c:max val="100"/>
        </c:scaling>
        <c:delete val="0"/>
        <c:axPos val="t"/>
        <c:numFmt formatCode="0" sourceLinked="1"/>
        <c:majorTickMark val="out"/>
        <c:minorTickMark val="none"/>
        <c:tickLblPos val="nextTo"/>
        <c:crossAx val="203522816"/>
        <c:crosses val="autoZero"/>
        <c:crossBetween val="between"/>
      </c:valAx>
    </c:plotArea>
    <c:legend>
      <c:legendPos val="b"/>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600"/>
            </a:pPr>
            <a:r>
              <a:rPr lang="de-AT" sz="1600"/>
              <a:t>Beweggründe für Annahme der Staatsbürgerschaft</a:t>
            </a:r>
            <a:r>
              <a:rPr lang="de-AT" sz="1600" baseline="0"/>
              <a:t> </a:t>
            </a:r>
            <a:r>
              <a:rPr lang="de-AT" sz="1600"/>
              <a:t>des Gastlandes in %</a:t>
            </a:r>
          </a:p>
        </c:rich>
      </c:tx>
      <c:layout/>
      <c:overlay val="0"/>
    </c:title>
    <c:autoTitleDeleted val="0"/>
    <c:plotArea>
      <c:layout>
        <c:manualLayout>
          <c:layoutTarget val="inner"/>
          <c:xMode val="edge"/>
          <c:yMode val="edge"/>
          <c:x val="0.43122839922915246"/>
          <c:y val="0.20310027377243428"/>
          <c:w val="0.54494273738204546"/>
          <c:h val="0.76055111468208103"/>
        </c:manualLayout>
      </c:layout>
      <c:barChart>
        <c:barDir val="bar"/>
        <c:grouping val="clustered"/>
        <c:varyColors val="0"/>
        <c:ser>
          <c:idx val="0"/>
          <c:order val="0"/>
          <c:tx>
            <c:strRef>
              <c:f>tab_Q7!$E$14</c:f>
              <c:strCache>
                <c:ptCount val="1"/>
                <c:pt idx="0">
                  <c:v>Nennungen in %</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tab_Q7!$B$15:$B$22</c:f>
              <c:strCache>
                <c:ptCount val="8"/>
                <c:pt idx="0">
                  <c:v>Andere Gründe</c:v>
                </c:pt>
                <c:pt idx="1">
                  <c:v>Geburt von Kindern im Aufenthaltsland</c:v>
                </c:pt>
                <c:pt idx="2">
                  <c:v>Bessere berufliche Chancen</c:v>
                </c:pt>
                <c:pt idx="3">
                  <c:v>Rückkehrmöglichkeit*</c:v>
                </c:pt>
                <c:pt idx="4">
                  <c:v>Mehr Rechte als Staatsbürger</c:v>
                </c:pt>
                <c:pt idx="5">
                  <c:v>Aufenthaltssicherheit</c:v>
                </c:pt>
                <c:pt idx="6">
                  <c:v>Möglichkeit der Wahlbeteiligung</c:v>
                </c:pt>
                <c:pt idx="7">
                  <c:v>Gastland ist zu zweiten Heimat geworden</c:v>
                </c:pt>
              </c:strCache>
            </c:strRef>
          </c:cat>
          <c:val>
            <c:numRef>
              <c:f>tab_Q7!$E$15:$E$22</c:f>
              <c:numCache>
                <c:formatCode>0</c:formatCode>
                <c:ptCount val="8"/>
                <c:pt idx="0">
                  <c:v>10.944652517686224</c:v>
                </c:pt>
                <c:pt idx="1">
                  <c:v>4.7440699126092385</c:v>
                </c:pt>
                <c:pt idx="2">
                  <c:v>4.8272992093216809</c:v>
                </c:pt>
                <c:pt idx="3">
                  <c:v>7.324178110694965</c:v>
                </c:pt>
                <c:pt idx="4">
                  <c:v>12.234706616729088</c:v>
                </c:pt>
                <c:pt idx="5">
                  <c:v>14.232209737827715</c:v>
                </c:pt>
                <c:pt idx="6">
                  <c:v>22.222222222222221</c:v>
                </c:pt>
                <c:pt idx="7">
                  <c:v>23.470661672908864</c:v>
                </c:pt>
              </c:numCache>
            </c:numRef>
          </c:val>
          <c:extLst xmlns:c16r2="http://schemas.microsoft.com/office/drawing/2015/06/chart">
            <c:ext xmlns:c16="http://schemas.microsoft.com/office/drawing/2014/chart" uri="{C3380CC4-5D6E-409C-BE32-E72D297353CC}">
              <c16:uniqueId val="{00000000-FE28-4B7F-8B4F-C98F9B8A327A}"/>
            </c:ext>
          </c:extLst>
        </c:ser>
        <c:dLbls>
          <c:dLblPos val="outEnd"/>
          <c:showLegendKey val="0"/>
          <c:showVal val="1"/>
          <c:showCatName val="0"/>
          <c:showSerName val="0"/>
          <c:showPercent val="0"/>
          <c:showBubbleSize val="0"/>
        </c:dLbls>
        <c:gapWidth val="150"/>
        <c:overlap val="-25"/>
        <c:axId val="203547008"/>
        <c:axId val="203531776"/>
      </c:barChart>
      <c:valAx>
        <c:axId val="203531776"/>
        <c:scaling>
          <c:orientation val="minMax"/>
        </c:scaling>
        <c:delete val="1"/>
        <c:axPos val="b"/>
        <c:numFmt formatCode="0" sourceLinked="1"/>
        <c:majorTickMark val="none"/>
        <c:minorTickMark val="none"/>
        <c:tickLblPos val="nextTo"/>
        <c:crossAx val="203547008"/>
        <c:crosses val="autoZero"/>
        <c:crossBetween val="between"/>
      </c:valAx>
      <c:catAx>
        <c:axId val="203547008"/>
        <c:scaling>
          <c:orientation val="minMax"/>
        </c:scaling>
        <c:delete val="0"/>
        <c:axPos val="l"/>
        <c:numFmt formatCode="General" sourceLinked="0"/>
        <c:majorTickMark val="none"/>
        <c:minorTickMark val="none"/>
        <c:tickLblPos val="nextTo"/>
        <c:crossAx val="203531776"/>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F443-6848-4DB7-A8F5-5B1E4D2F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Formatvorlagen zur Berichtserstellung.dotx</Template>
  <TotalTime>0</TotalTime>
  <Pages>20</Pages>
  <Words>3910</Words>
  <Characters>24640</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BAKKALAUREATSARBEIT/MAGISTERARBEIT/DISSERTATION</vt:lpstr>
    </vt:vector>
  </TitlesOfParts>
  <Company>ZID</Company>
  <LinksUpToDate>false</LinksUpToDate>
  <CharactersWithSpaces>28494</CharactersWithSpaces>
  <SharedDoc>false</SharedDoc>
  <HLinks>
    <vt:vector size="60" baseType="variant">
      <vt:variant>
        <vt:i4>1703991</vt:i4>
      </vt:variant>
      <vt:variant>
        <vt:i4>59</vt:i4>
      </vt:variant>
      <vt:variant>
        <vt:i4>0</vt:i4>
      </vt:variant>
      <vt:variant>
        <vt:i4>5</vt:i4>
      </vt:variant>
      <vt:variant>
        <vt:lpwstr/>
      </vt:variant>
      <vt:variant>
        <vt:lpwstr>_Toc220857003</vt:lpwstr>
      </vt:variant>
      <vt:variant>
        <vt:i4>1703991</vt:i4>
      </vt:variant>
      <vt:variant>
        <vt:i4>53</vt:i4>
      </vt:variant>
      <vt:variant>
        <vt:i4>0</vt:i4>
      </vt:variant>
      <vt:variant>
        <vt:i4>5</vt:i4>
      </vt:variant>
      <vt:variant>
        <vt:lpwstr/>
      </vt:variant>
      <vt:variant>
        <vt:lpwstr>_Toc220857002</vt:lpwstr>
      </vt:variant>
      <vt:variant>
        <vt:i4>1900598</vt:i4>
      </vt:variant>
      <vt:variant>
        <vt:i4>44</vt:i4>
      </vt:variant>
      <vt:variant>
        <vt:i4>0</vt:i4>
      </vt:variant>
      <vt:variant>
        <vt:i4>5</vt:i4>
      </vt:variant>
      <vt:variant>
        <vt:lpwstr/>
      </vt:variant>
      <vt:variant>
        <vt:lpwstr>_Toc220855157</vt:lpwstr>
      </vt:variant>
      <vt:variant>
        <vt:i4>1900598</vt:i4>
      </vt:variant>
      <vt:variant>
        <vt:i4>38</vt:i4>
      </vt:variant>
      <vt:variant>
        <vt:i4>0</vt:i4>
      </vt:variant>
      <vt:variant>
        <vt:i4>5</vt:i4>
      </vt:variant>
      <vt:variant>
        <vt:lpwstr/>
      </vt:variant>
      <vt:variant>
        <vt:lpwstr>_Toc220855156</vt:lpwstr>
      </vt:variant>
      <vt:variant>
        <vt:i4>1900598</vt:i4>
      </vt:variant>
      <vt:variant>
        <vt:i4>32</vt:i4>
      </vt:variant>
      <vt:variant>
        <vt:i4>0</vt:i4>
      </vt:variant>
      <vt:variant>
        <vt:i4>5</vt:i4>
      </vt:variant>
      <vt:variant>
        <vt:lpwstr/>
      </vt:variant>
      <vt:variant>
        <vt:lpwstr>_Toc220855155</vt:lpwstr>
      </vt:variant>
      <vt:variant>
        <vt:i4>1900598</vt:i4>
      </vt:variant>
      <vt:variant>
        <vt:i4>26</vt:i4>
      </vt:variant>
      <vt:variant>
        <vt:i4>0</vt:i4>
      </vt:variant>
      <vt:variant>
        <vt:i4>5</vt:i4>
      </vt:variant>
      <vt:variant>
        <vt:lpwstr/>
      </vt:variant>
      <vt:variant>
        <vt:lpwstr>_Toc220855154</vt:lpwstr>
      </vt:variant>
      <vt:variant>
        <vt:i4>1900598</vt:i4>
      </vt:variant>
      <vt:variant>
        <vt:i4>20</vt:i4>
      </vt:variant>
      <vt:variant>
        <vt:i4>0</vt:i4>
      </vt:variant>
      <vt:variant>
        <vt:i4>5</vt:i4>
      </vt:variant>
      <vt:variant>
        <vt:lpwstr/>
      </vt:variant>
      <vt:variant>
        <vt:lpwstr>_Toc220855153</vt:lpwstr>
      </vt:variant>
      <vt:variant>
        <vt:i4>1900598</vt:i4>
      </vt:variant>
      <vt:variant>
        <vt:i4>14</vt:i4>
      </vt:variant>
      <vt:variant>
        <vt:i4>0</vt:i4>
      </vt:variant>
      <vt:variant>
        <vt:i4>5</vt:i4>
      </vt:variant>
      <vt:variant>
        <vt:lpwstr/>
      </vt:variant>
      <vt:variant>
        <vt:lpwstr>_Toc220855152</vt:lpwstr>
      </vt:variant>
      <vt:variant>
        <vt:i4>1900598</vt:i4>
      </vt:variant>
      <vt:variant>
        <vt:i4>8</vt:i4>
      </vt:variant>
      <vt:variant>
        <vt:i4>0</vt:i4>
      </vt:variant>
      <vt:variant>
        <vt:i4>5</vt:i4>
      </vt:variant>
      <vt:variant>
        <vt:lpwstr/>
      </vt:variant>
      <vt:variant>
        <vt:lpwstr>_Toc220855151</vt:lpwstr>
      </vt:variant>
      <vt:variant>
        <vt:i4>1900598</vt:i4>
      </vt:variant>
      <vt:variant>
        <vt:i4>2</vt:i4>
      </vt:variant>
      <vt:variant>
        <vt:i4>0</vt:i4>
      </vt:variant>
      <vt:variant>
        <vt:i4>5</vt:i4>
      </vt:variant>
      <vt:variant>
        <vt:lpwstr/>
      </vt:variant>
      <vt:variant>
        <vt:lpwstr>_Toc220855150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BAKKALAUREATSARBEIT/MAGISTERARBEIT/DISSERTATION</dc:title>
  <dc:creator>Gundl, Florian (1330xxx)</dc:creator>
  <cp:lastModifiedBy>Flo</cp:lastModifiedBy>
  <cp:revision>17</cp:revision>
  <cp:lastPrinted>2019-12-16T11:51:00Z</cp:lastPrinted>
  <dcterms:created xsi:type="dcterms:W3CDTF">2019-12-16T10:32:00Z</dcterms:created>
  <dcterms:modified xsi:type="dcterms:W3CDTF">2019-12-17T10:22:00Z</dcterms:modified>
</cp:coreProperties>
</file>